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40" w:before="0" w:after="0"/>
        <w:ind w:left="4820" w:hanging="0"/>
        <w:jc w:val="both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eastAsia="Calibri"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/>
      </w:r>
      <w:bookmarkStart w:id="0" w:name="__DdeLink__59_23753307091"/>
      <w:bookmarkStart w:id="1" w:name="__DdeLink__59_23753307091"/>
      <w:bookmarkEnd w:id="1"/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eastAsia="Calibri" w:cs="Times New Roman" w:ascii="Times New Roman" w:hAnsi="Times New Roman"/>
          <w:sz w:val="26"/>
          <w:szCs w:val="26"/>
        </w:rPr>
      </w:r>
    </w:p>
    <w:p>
      <w:pPr>
        <w:pStyle w:val="Style19"/>
        <w:spacing w:lineRule="auto" w:line="240" w:before="0" w:after="0"/>
        <w:ind w:firstLine="709"/>
        <w:jc w:val="center"/>
        <w:rPr/>
      </w:pPr>
      <w:r>
        <w:rPr>
          <w:rStyle w:val="Style14"/>
          <w:rFonts w:eastAsia="Calibri" w:cs="Times New Roman" w:ascii="Liberation Serif" w:hAnsi="Liberation Serif"/>
          <w:b/>
          <w:i w:val="false"/>
          <w:caps w:val="false"/>
          <w:smallCaps w:val="false"/>
          <w:color w:val="333333"/>
          <w:spacing w:val="0"/>
          <w:sz w:val="24"/>
          <w:szCs w:val="24"/>
        </w:rPr>
        <w:t>Отчуждение жилых помещений</w:t>
        <w:br/>
        <w:t>Отчуждение жилых помещений, принадлежащих на праве собственности несовершеннолетним</w:t>
      </w:r>
    </w:p>
    <w:p>
      <w:pPr>
        <w:pStyle w:val="Style19"/>
        <w:spacing w:lineRule="auto" w:line="240" w:before="0" w:after="0"/>
        <w:ind w:firstLine="709"/>
        <w:jc w:val="center"/>
        <w:rPr>
          <w:rStyle w:val="Style14"/>
          <w:rFonts w:ascii="Times New Roman" w:hAnsi="Times New Roman" w:eastAsia="Calibri" w:cs="Times New Roman"/>
          <w:b/>
          <w:b/>
          <w:i w:val="false"/>
          <w:i w:val="false"/>
          <w:caps w:val="false"/>
          <w:smallCaps w:val="false"/>
          <w:color w:val="333333"/>
          <w:spacing w:val="0"/>
          <w:sz w:val="26"/>
          <w:szCs w:val="26"/>
        </w:rPr>
      </w:pPr>
      <w:r>
        <w:rPr/>
      </w:r>
    </w:p>
    <w:p>
      <w:pPr>
        <w:pStyle w:val="Style19"/>
        <w:widowControl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6"/>
        <w:ind w:left="707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Заявление родителей (личное присутствие обоих родителей).</w:t>
      </w:r>
    </w:p>
    <w:p>
      <w:pPr>
        <w:pStyle w:val="Style19"/>
        <w:widowControl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Паспорт или иной документ, удостоверяющий личность.</w:t>
      </w:r>
    </w:p>
    <w:p>
      <w:pPr>
        <w:pStyle w:val="Style19"/>
        <w:widowControl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Свидетельство о рождении.</w:t>
      </w:r>
    </w:p>
    <w:p>
      <w:pPr>
        <w:pStyle w:val="Style19"/>
        <w:widowControl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Паспорт для ребенка, достигшего 14-летнего возраста.</w:t>
      </w:r>
    </w:p>
    <w:p>
      <w:pPr>
        <w:pStyle w:val="Style19"/>
        <w:widowControl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6"/>
        <w:ind w:left="707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Заявление несовершеннолетнего (старше 14-летнего возраста) о согласии на отчуждение и приобретение другого конкретного жилого помещения для него в результате сделки.</w:t>
      </w:r>
    </w:p>
    <w:p>
      <w:pPr>
        <w:pStyle w:val="Style19"/>
        <w:widowControl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Согласие сособственников недвижимого имущества, распоряжение которым осуществляется (личное присутствие).</w:t>
      </w:r>
    </w:p>
    <w:p>
      <w:pPr>
        <w:pStyle w:val="Style19"/>
        <w:widowControl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Копии правоустанавливающих документов на жилые помещения приобретаемое и отчуждаемое (предоставляются копии документов, подтверждающих основания приобретения жилого помещения: копия договора купли-продажи, мены, дарения, долевого участия в строительстве, свидетельства о праве на наследство и т. д.)</w:t>
      </w:r>
      <w:r>
        <w:rPr>
          <w:rFonts w:ascii="Verdana;Arial;sans-serif" w:hAnsi="Verdana;Arial;sans-serif"/>
          <w:b w:val="false"/>
          <w:i w:val="false"/>
          <w:caps w:val="false"/>
          <w:smallCaps w:val="false"/>
          <w:color w:val="333333"/>
          <w:spacing w:val="0"/>
          <w:sz w:val="14"/>
          <w:szCs w:val="24"/>
        </w:rPr>
        <w:t>.</w:t>
      </w:r>
    </w:p>
    <w:p>
      <w:pPr>
        <w:pStyle w:val="Style19"/>
        <w:widowControl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Копии свидетельств о государственной регистрации права собственности или копии выписок ЕГРН на приобретаемое и отчуждаемое жилые помещения.</w:t>
      </w:r>
    </w:p>
    <w:p>
      <w:pPr>
        <w:pStyle w:val="Style19"/>
        <w:widowControl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Кадастровый паспорт объекта недвижимости на приобретаемое и отчуждаемое жилые помещения.</w:t>
      </w:r>
    </w:p>
    <w:p>
      <w:pPr>
        <w:pStyle w:val="Style19"/>
        <w:widowControl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Справки из отдела УФМС России о лицах, зарегистрированных по месту жительства отчуждаемого и приобретаемого жилого помещения (справки формы № 40).</w:t>
      </w:r>
    </w:p>
    <w:p>
      <w:pPr>
        <w:pStyle w:val="Style19"/>
        <w:widowControl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Рыночная стоимость на приобретаемое и отчуждаемое жилые помещения (средства массовой информации).</w:t>
      </w:r>
    </w:p>
    <w:p>
      <w:pPr>
        <w:pStyle w:val="Style19"/>
        <w:widowControl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Письменное извещение кредитной организации о согласии на включение несовершеннолетнего в число сособственников недвижимого имущества, являющегося предметом  ипотеки (залога), если жилое помещение приобретается с использованием кредитных средств.</w:t>
      </w:r>
    </w:p>
    <w:p>
      <w:pPr>
        <w:pStyle w:val="Style19"/>
        <w:widowControl/>
        <w:bidi w:val="0"/>
        <w:spacing w:lineRule="auto" w:line="276" w:before="0" w:after="120"/>
        <w:ind w:left="794" w:right="0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     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Если приобретается жилое помещение по договору участия долевого строительства,      дополнительно предоставить:</w:t>
      </w:r>
    </w:p>
    <w:p>
      <w:pPr>
        <w:pStyle w:val="Style19"/>
        <w:widowControl/>
        <w:numPr>
          <w:ilvl w:val="0"/>
          <w:numId w:val="2"/>
        </w:numPr>
        <w:tabs>
          <w:tab w:val="clear" w:pos="708"/>
          <w:tab w:val="left" w:pos="0" w:leader="none"/>
        </w:tabs>
        <w:spacing w:before="0" w:after="120"/>
        <w:ind w:left="707" w:hanging="0"/>
        <w:jc w:val="both"/>
        <w:rPr>
          <w:rFonts w:ascii="Verdana;Arial;sans-serif" w:hAnsi="Verdana;Arial;sans-serif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1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договор участия долевого строительства, разрешение на строительство, копия проектной декларации;</w:t>
      </w:r>
    </w:p>
    <w:p>
      <w:pPr>
        <w:pStyle w:val="Style19"/>
        <w:widowControl/>
        <w:numPr>
          <w:ilvl w:val="0"/>
          <w:numId w:val="2"/>
        </w:numPr>
        <w:tabs>
          <w:tab w:val="clear" w:pos="708"/>
          <w:tab w:val="left" w:pos="0" w:leader="none"/>
        </w:tabs>
        <w:spacing w:before="0" w:after="120"/>
        <w:ind w:left="707" w:hanging="0"/>
        <w:jc w:val="both"/>
        <w:rPr>
          <w:rFonts w:ascii="Verdana;Arial;sans-serif" w:hAnsi="Verdana;Arial;sans-serif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1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договор аренды земельного участка;</w:t>
      </w:r>
    </w:p>
    <w:p>
      <w:pPr>
        <w:pStyle w:val="Style19"/>
        <w:widowControl/>
        <w:numPr>
          <w:ilvl w:val="0"/>
          <w:numId w:val="2"/>
        </w:numPr>
        <w:tabs>
          <w:tab w:val="clear" w:pos="708"/>
          <w:tab w:val="left" w:pos="0" w:leader="none"/>
        </w:tabs>
        <w:spacing w:before="0" w:after="120"/>
        <w:ind w:left="707" w:hanging="0"/>
        <w:jc w:val="both"/>
        <w:rPr>
          <w:rFonts w:ascii="Verdana;Arial;sans-serif" w:hAnsi="Verdana;Arial;sans-serif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1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договор страхования гражданской ответственности застройщика;</w:t>
      </w:r>
    </w:p>
    <w:p>
      <w:pPr>
        <w:pStyle w:val="Style19"/>
        <w:widowControl/>
        <w:numPr>
          <w:ilvl w:val="0"/>
          <w:numId w:val="2"/>
        </w:numPr>
        <w:tabs>
          <w:tab w:val="clear" w:pos="708"/>
          <w:tab w:val="left" w:pos="0" w:leader="none"/>
        </w:tabs>
        <w:spacing w:before="0" w:after="120"/>
        <w:ind w:left="707" w:hanging="0"/>
        <w:jc w:val="both"/>
        <w:rPr>
          <w:rFonts w:ascii="Verdana;Arial;sans-serif" w:hAnsi="Verdana;Arial;sans-serif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1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документы, подтверждающие право проживания несовершеннолетнего на период строительства</w:t>
      </w:r>
    </w:p>
    <w:p>
      <w:pPr>
        <w:pStyle w:val="Style19"/>
        <w:widowControl/>
        <w:spacing w:before="0" w:after="0"/>
        <w:ind w:left="0" w:right="0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 xml:space="preserve">                   </w:t>
      </w: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Если приобретается жилой дом с земельным участком, дополнительно предоставить:</w:t>
      </w:r>
    </w:p>
    <w:p>
      <w:pPr>
        <w:pStyle w:val="Style19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правоустанавливающие документы на жилой дом и земельный участок;</w:t>
      </w:r>
    </w:p>
    <w:p>
      <w:pPr>
        <w:pStyle w:val="Style19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технический паспорт на жилой дом;</w:t>
      </w:r>
    </w:p>
    <w:p>
      <w:pPr>
        <w:pStyle w:val="Style19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кадастровый паспорт на жилой дом и земельный участок;</w:t>
      </w:r>
    </w:p>
    <w:p>
      <w:pPr>
        <w:pStyle w:val="Style19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0"/>
        <w:ind w:left="707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справку о прописке;</w:t>
      </w:r>
    </w:p>
    <w:p>
      <w:pPr>
        <w:pStyle w:val="Style19"/>
        <w:widowControl/>
        <w:numPr>
          <w:ilvl w:val="0"/>
          <w:numId w:val="3"/>
        </w:numPr>
        <w:tabs>
          <w:tab w:val="clear" w:pos="708"/>
          <w:tab w:val="left" w:pos="0" w:leader="none"/>
        </w:tabs>
        <w:spacing w:before="0" w:after="120"/>
        <w:ind w:left="707" w:hanging="0"/>
        <w:jc w:val="both"/>
        <w:rPr>
          <w:rFonts w:ascii="Verdana;Arial;sans-serif" w:hAnsi="Verdana;Arial;sans-serif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14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рыночную стоимость (средства массовой информации).</w:t>
      </w:r>
    </w:p>
    <w:p>
      <w:pPr>
        <w:pStyle w:val="Style19"/>
        <w:widowControl/>
        <w:spacing w:before="0" w:after="120"/>
        <w:ind w:left="0" w:right="0" w:hanging="0"/>
        <w:jc w:val="both"/>
        <w:rPr/>
      </w:pPr>
      <w:r>
        <w:rPr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br/>
        <w:tab/>
      </w:r>
      <w:r>
        <w:rPr>
          <w:rStyle w:val="Style17"/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>ст. 26,28, 37, 250, 1165 Гражданского кодекса Российской Федерации</w:t>
        <w:br/>
        <w:t>ст.60 Семейного кодекса Российской Федерации</w:t>
        <w:br/>
        <w:t>ст. 11 Закона РФ от 04.07.1991 г. № 1541-1 «О приватизации жилищного фонда в Российской Федерации»;</w:t>
        <w:br/>
        <w:tab/>
        <w:t>ст.77 Федерального закона от 16.07.1998 года № 102-ФЗ «Об ипотеке (залоге недвижимости)»;</w:t>
        <w:br/>
        <w:tab/>
        <w:t>Федеральный закон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РФ»;</w:t>
        <w:br/>
        <w:tab/>
        <w:t>Жилищный кодекс Российской Федерации;</w:t>
      </w:r>
    </w:p>
    <w:p>
      <w:pPr>
        <w:pStyle w:val="Style19"/>
        <w:widowControl/>
        <w:spacing w:before="0" w:after="120"/>
        <w:ind w:left="0" w:right="0" w:hanging="0"/>
        <w:jc w:val="both"/>
        <w:rPr/>
      </w:pPr>
      <w:r>
        <w:rPr>
          <w:rStyle w:val="Style17"/>
          <w:rFonts w:ascii="Liberation Serif" w:hAnsi="Liberation Serif"/>
          <w:b w:val="false"/>
          <w:i w:val="false"/>
          <w:caps w:val="false"/>
          <w:smallCaps w:val="false"/>
          <w:color w:val="333333"/>
          <w:spacing w:val="0"/>
          <w:sz w:val="24"/>
          <w:szCs w:val="24"/>
        </w:rPr>
        <w:tab/>
        <w:t>Административный регламент по предоставлению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«Выдача предварительного разрешения органа опеки и попечительства на совершение сделки по распоряжению недвижимым имуществом, принадлежащим подопечному», утвержденный Приказом Министерства социальной политики по Свердловской области от 12.08.2015 № 485.</w:t>
      </w:r>
    </w:p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 w:eastAsia="Calibri" w:cs="Times New Roman"/>
          <w:sz w:val="24"/>
          <w:szCs w:val="24"/>
        </w:rPr>
      </w:pPr>
      <w:r>
        <w:rPr>
          <w:rFonts w:eastAsia="Calibri" w:cs="Times New Roman" w:ascii="Liberation Serif" w:hAnsi="Liberation Serif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Liberation Serif" w:hAnsi="Liberation Serif" w:eastAsia="Calibri" w:cs="Times New Roman"/>
          <w:sz w:val="24"/>
          <w:szCs w:val="24"/>
        </w:rPr>
      </w:pPr>
      <w:r>
        <w:rPr>
          <w:rFonts w:eastAsia="Calibri" w:cs="Times New Roman" w:ascii="Liberation Serif" w:hAnsi="Liberation Serif"/>
          <w:sz w:val="24"/>
          <w:szCs w:val="24"/>
        </w:rPr>
      </w:r>
    </w:p>
    <w:p>
      <w:pPr>
        <w:pStyle w:val="Normal"/>
        <w:widowControl/>
        <w:bidi w:val="0"/>
        <w:spacing w:lineRule="auto" w:line="276" w:before="0" w:after="20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sectPr>
      <w:type w:val="nextPage"/>
      <w:pgSz w:w="11906" w:h="16838"/>
      <w:pgMar w:left="890" w:right="1044" w:header="0" w:top="709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Verdana">
    <w:altName w:val="Arial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%1."/>
      <w:lvlJc w:val="left"/>
      <w:pPr>
        <w:ind w:left="707" w:hanging="0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">
    <w:lvl w:ilvl="0">
      <w:start w:val="1"/>
      <w:numFmt w:val="bullet"/>
      <w:suff w:val="nothing"/>
      <w:lvlText w:val=""/>
      <w:lvlJc w:val="left"/>
      <w:pPr>
        <w:ind w:left="707" w:hanging="0"/>
      </w:pPr>
      <w:rPr>
        <w:rFonts w:ascii="Symbol" w:hAnsi="Symbol" w:cs="Symbol" w:hint="default"/>
        <w:sz w:val="14"/>
        <w:b w:val="false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ind w:left="707" w:hanging="0"/>
      </w:pPr>
      <w:rPr>
        <w:rFonts w:ascii="Symbol" w:hAnsi="Symbol" w:cs="Symbol" w:hint="default"/>
        <w:sz w:val="14"/>
        <w:b w:val="false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mirrorMargins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21f0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Выделение жирным"/>
    <w:qFormat/>
    <w:rPr>
      <w:b/>
      <w:bCs/>
    </w:rPr>
  </w:style>
  <w:style w:type="character" w:styleId="Style15">
    <w:name w:val="Символ нумерации"/>
    <w:qFormat/>
    <w:rPr/>
  </w:style>
  <w:style w:type="character" w:styleId="Style16">
    <w:name w:val="Маркеры списка"/>
    <w:qFormat/>
    <w:rPr>
      <w:rFonts w:ascii="OpenSymbol" w:hAnsi="OpenSymbol" w:eastAsia="OpenSymbol" w:cs="OpenSymbol"/>
    </w:rPr>
  </w:style>
  <w:style w:type="character" w:styleId="Style17">
    <w:name w:val="Выделение"/>
    <w:qFormat/>
    <w:rPr>
      <w:i/>
      <w:iCs/>
    </w:rPr>
  </w:style>
  <w:style w:type="character" w:styleId="ListLabel1">
    <w:name w:val="ListLabel 1"/>
    <w:qFormat/>
    <w:rPr>
      <w:rFonts w:ascii="Verdana;Arial;sans-serif" w:hAnsi="Verdana;Arial;sans-serif" w:cs="OpenSymbol"/>
      <w:b w:val="false"/>
      <w:sz w:val="14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ascii="Verdana;Arial;sans-serif" w:hAnsi="Verdana;Arial;sans-serif" w:cs="OpenSymbol"/>
      <w:b w:val="false"/>
      <w:sz w:val="14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Application>LibreOffice/6.1.4.2$Windows_x86 LibreOffice_project/9d0f32d1f0b509096fd65e0d4bec26ddd1938fd3</Application>
  <Pages>2</Pages>
  <Words>400</Words>
  <Characters>2980</Characters>
  <CharactersWithSpaces>3370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2015-08-31T08:51:00Z</dcterms:created>
  <dc:creator>sopegina</dc:creator>
  <dc:description/>
  <dc:language>ru-RU</dc:language>
  <cp:lastModifiedBy/>
  <cp:lastPrinted>2020-06-22T05:17:00Z</cp:lastPrinted>
  <dcterms:modified xsi:type="dcterms:W3CDTF">2020-07-15T15:49:45Z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