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15" w:type="dxa"/>
        <w:tblCellMar>
          <w:left w:w="0" w:type="dxa"/>
          <w:right w:w="0" w:type="dxa"/>
        </w:tblCellMar>
        <w:tblLook w:val="0000" w:firstRow="0" w:lastRow="0" w:firstColumn="0" w:lastColumn="0" w:noHBand="0" w:noVBand="0"/>
      </w:tblPr>
      <w:tblGrid>
        <w:gridCol w:w="6082"/>
        <w:gridCol w:w="227"/>
        <w:gridCol w:w="9"/>
        <w:gridCol w:w="1475"/>
        <w:gridCol w:w="1661"/>
        <w:gridCol w:w="50"/>
        <w:gridCol w:w="11"/>
        <w:gridCol w:w="45"/>
        <w:gridCol w:w="20"/>
        <w:gridCol w:w="40"/>
        <w:gridCol w:w="20"/>
        <w:gridCol w:w="64"/>
      </w:tblGrid>
      <w:tr w:rsidR="002D237D" w:rsidRPr="002D237D" w14:paraId="75F56A5A" w14:textId="77777777">
        <w:trPr>
          <w:trHeight w:val="270"/>
        </w:trPr>
        <w:tc>
          <w:tcPr>
            <w:tcW w:w="6150" w:type="dxa"/>
            <w:tcBorders>
              <w:top w:val="nil"/>
              <w:left w:val="nil"/>
              <w:bottom w:val="nil"/>
              <w:right w:val="nil"/>
            </w:tcBorders>
            <w:tcMar>
              <w:top w:w="0" w:type="dxa"/>
              <w:left w:w="0" w:type="dxa"/>
              <w:bottom w:w="0" w:type="dxa"/>
              <w:right w:w="0" w:type="dxa"/>
            </w:tcMar>
            <w:vAlign w:val="bottom"/>
          </w:tcPr>
          <w:p w14:paraId="46EFF84B" w14:textId="77777777" w:rsidR="002D237D" w:rsidRPr="002D237D" w:rsidRDefault="002D237D" w:rsidP="002D237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ПОЯСНИТЕЛЬНАЯ ЗАПИСКА</w:t>
            </w:r>
          </w:p>
        </w:tc>
        <w:tc>
          <w:tcPr>
            <w:tcW w:w="239" w:type="dxa"/>
            <w:gridSpan w:val="2"/>
            <w:tcBorders>
              <w:top w:val="nil"/>
              <w:left w:val="nil"/>
              <w:bottom w:val="nil"/>
              <w:right w:val="nil"/>
            </w:tcBorders>
            <w:tcMar>
              <w:top w:w="0" w:type="dxa"/>
              <w:left w:w="0" w:type="dxa"/>
              <w:bottom w:w="0" w:type="dxa"/>
              <w:right w:w="0" w:type="dxa"/>
            </w:tcMar>
            <w:vAlign w:val="bottom"/>
          </w:tcPr>
          <w:p w14:paraId="7F153DEB"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1491" w:type="dxa"/>
            <w:tcBorders>
              <w:top w:val="nil"/>
              <w:left w:val="nil"/>
              <w:bottom w:val="nil"/>
              <w:right w:val="nil"/>
            </w:tcBorders>
            <w:tcMar>
              <w:top w:w="0" w:type="dxa"/>
              <w:left w:w="0" w:type="dxa"/>
              <w:bottom w:w="0" w:type="dxa"/>
              <w:right w:w="0" w:type="dxa"/>
            </w:tcMar>
            <w:vAlign w:val="bottom"/>
          </w:tcPr>
          <w:p w14:paraId="6CF5570E"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1680" w:type="dxa"/>
            <w:tcBorders>
              <w:top w:val="nil"/>
              <w:left w:val="nil"/>
              <w:bottom w:val="nil"/>
              <w:right w:val="nil"/>
            </w:tcBorders>
            <w:tcMar>
              <w:top w:w="0" w:type="dxa"/>
              <w:left w:w="0" w:type="dxa"/>
              <w:bottom w:w="0" w:type="dxa"/>
              <w:right w:w="0" w:type="dxa"/>
            </w:tcMar>
            <w:vAlign w:val="bottom"/>
          </w:tcPr>
          <w:p w14:paraId="1B19A980"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60" w:type="dxa"/>
            <w:gridSpan w:val="2"/>
            <w:tcBorders>
              <w:top w:val="nil"/>
              <w:left w:val="nil"/>
              <w:bottom w:val="nil"/>
              <w:right w:val="nil"/>
            </w:tcBorders>
            <w:tcMar>
              <w:top w:w="0" w:type="dxa"/>
              <w:left w:w="0" w:type="dxa"/>
              <w:bottom w:w="0" w:type="dxa"/>
              <w:right w:w="0" w:type="dxa"/>
            </w:tcMar>
          </w:tcPr>
          <w:p w14:paraId="42885F41"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60" w:type="dxa"/>
            <w:gridSpan w:val="2"/>
            <w:tcBorders>
              <w:top w:val="nil"/>
              <w:left w:val="nil"/>
              <w:bottom w:val="nil"/>
              <w:right w:val="nil"/>
            </w:tcBorders>
            <w:tcMar>
              <w:top w:w="0" w:type="dxa"/>
              <w:left w:w="0" w:type="dxa"/>
              <w:bottom w:w="0" w:type="dxa"/>
              <w:right w:w="0" w:type="dxa"/>
            </w:tcMar>
          </w:tcPr>
          <w:p w14:paraId="04BB0C98"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60" w:type="dxa"/>
            <w:gridSpan w:val="2"/>
            <w:tcBorders>
              <w:top w:val="nil"/>
              <w:left w:val="nil"/>
              <w:bottom w:val="nil"/>
              <w:right w:val="nil"/>
            </w:tcBorders>
            <w:tcMar>
              <w:top w:w="0" w:type="dxa"/>
              <w:left w:w="0" w:type="dxa"/>
              <w:bottom w:w="0" w:type="dxa"/>
              <w:right w:w="0" w:type="dxa"/>
            </w:tcMar>
          </w:tcPr>
          <w:p w14:paraId="16DEDDBE"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60" w:type="dxa"/>
            <w:tcBorders>
              <w:top w:val="nil"/>
              <w:left w:val="nil"/>
              <w:bottom w:val="nil"/>
              <w:right w:val="nil"/>
            </w:tcBorders>
            <w:tcMar>
              <w:top w:w="0" w:type="dxa"/>
              <w:left w:w="0" w:type="dxa"/>
              <w:bottom w:w="0" w:type="dxa"/>
              <w:right w:w="0" w:type="dxa"/>
            </w:tcMar>
          </w:tcPr>
          <w:p w14:paraId="7EED702D"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r>
      <w:tr w:rsidR="002D237D" w:rsidRPr="002D237D" w14:paraId="26864B5F" w14:textId="77777777">
        <w:trPr>
          <w:trHeight w:val="255"/>
        </w:trPr>
        <w:tc>
          <w:tcPr>
            <w:tcW w:w="6150" w:type="dxa"/>
            <w:tcBorders>
              <w:top w:val="nil"/>
              <w:left w:val="nil"/>
              <w:bottom w:val="nil"/>
              <w:right w:val="nil"/>
            </w:tcBorders>
            <w:tcMar>
              <w:top w:w="0" w:type="dxa"/>
              <w:left w:w="0" w:type="dxa"/>
              <w:bottom w:w="0" w:type="dxa"/>
              <w:right w:w="0" w:type="dxa"/>
            </w:tcMar>
            <w:vAlign w:val="bottom"/>
          </w:tcPr>
          <w:p w14:paraId="62FDF036"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239" w:type="dxa"/>
            <w:gridSpan w:val="2"/>
            <w:tcBorders>
              <w:top w:val="nil"/>
              <w:left w:val="nil"/>
              <w:bottom w:val="nil"/>
              <w:right w:val="nil"/>
            </w:tcBorders>
            <w:tcMar>
              <w:top w:w="0" w:type="dxa"/>
              <w:left w:w="0" w:type="dxa"/>
              <w:bottom w:w="0" w:type="dxa"/>
              <w:right w:w="0" w:type="dxa"/>
            </w:tcMar>
            <w:vAlign w:val="bottom"/>
          </w:tcPr>
          <w:p w14:paraId="42F528A6"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1491" w:type="dxa"/>
            <w:tcBorders>
              <w:top w:val="nil"/>
              <w:left w:val="nil"/>
              <w:bottom w:val="nil"/>
              <w:right w:val="nil"/>
            </w:tcBorders>
            <w:tcMar>
              <w:top w:w="0" w:type="dxa"/>
              <w:left w:w="0" w:type="dxa"/>
              <w:bottom w:w="0" w:type="dxa"/>
              <w:right w:w="0" w:type="dxa"/>
            </w:tcMar>
            <w:vAlign w:val="bottom"/>
          </w:tcPr>
          <w:p w14:paraId="52254AC2"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1730" w:type="dxa"/>
            <w:gridSpan w:val="2"/>
            <w:tcBorders>
              <w:top w:val="single" w:sz="8" w:space="0" w:color="auto"/>
              <w:left w:val="single" w:sz="8" w:space="0" w:color="auto"/>
              <w:bottom w:val="single" w:sz="8" w:space="0" w:color="auto"/>
              <w:right w:val="nil"/>
            </w:tcBorders>
            <w:tcMar>
              <w:top w:w="0" w:type="dxa"/>
              <w:left w:w="0" w:type="dxa"/>
              <w:bottom w:w="0" w:type="dxa"/>
              <w:right w:w="0" w:type="dxa"/>
            </w:tcMar>
            <w:vAlign w:val="bottom"/>
          </w:tcPr>
          <w:p w14:paraId="7BB1E83D" w14:textId="77777777" w:rsidR="002D237D" w:rsidRPr="002D237D" w:rsidRDefault="002D237D" w:rsidP="002D237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КОДЫ</w:t>
            </w:r>
          </w:p>
        </w:tc>
        <w:tc>
          <w:tcPr>
            <w:tcW w:w="50" w:type="dxa"/>
            <w:gridSpan w:val="2"/>
            <w:tcBorders>
              <w:top w:val="nil"/>
              <w:left w:val="single" w:sz="8" w:space="0" w:color="auto"/>
              <w:bottom w:val="nil"/>
              <w:right w:val="nil"/>
            </w:tcBorders>
            <w:tcMar>
              <w:top w:w="0" w:type="dxa"/>
              <w:left w:w="0" w:type="dxa"/>
              <w:bottom w:w="0" w:type="dxa"/>
              <w:right w:w="0" w:type="dxa"/>
            </w:tcMar>
          </w:tcPr>
          <w:p w14:paraId="73275E59"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60" w:type="dxa"/>
            <w:gridSpan w:val="2"/>
            <w:tcBorders>
              <w:top w:val="nil"/>
              <w:left w:val="nil"/>
              <w:bottom w:val="nil"/>
              <w:right w:val="nil"/>
            </w:tcBorders>
            <w:tcMar>
              <w:top w:w="0" w:type="dxa"/>
              <w:left w:w="0" w:type="dxa"/>
              <w:bottom w:w="0" w:type="dxa"/>
              <w:right w:w="0" w:type="dxa"/>
            </w:tcMar>
          </w:tcPr>
          <w:p w14:paraId="485B75A4"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60" w:type="dxa"/>
            <w:gridSpan w:val="2"/>
            <w:tcBorders>
              <w:top w:val="nil"/>
              <w:left w:val="nil"/>
              <w:bottom w:val="nil"/>
              <w:right w:val="nil"/>
            </w:tcBorders>
            <w:tcMar>
              <w:top w:w="0" w:type="dxa"/>
              <w:left w:w="0" w:type="dxa"/>
              <w:bottom w:w="0" w:type="dxa"/>
              <w:right w:w="0" w:type="dxa"/>
            </w:tcMar>
          </w:tcPr>
          <w:p w14:paraId="77BCF169"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r>
      <w:tr w:rsidR="002D237D" w:rsidRPr="002D237D" w14:paraId="04A856BB" w14:textId="77777777">
        <w:trPr>
          <w:trHeight w:val="282"/>
        </w:trPr>
        <w:tc>
          <w:tcPr>
            <w:tcW w:w="6150" w:type="dxa"/>
            <w:tcBorders>
              <w:top w:val="nil"/>
              <w:left w:val="nil"/>
              <w:bottom w:val="nil"/>
              <w:right w:val="nil"/>
            </w:tcBorders>
            <w:tcMar>
              <w:top w:w="0" w:type="dxa"/>
              <w:left w:w="0" w:type="dxa"/>
              <w:bottom w:w="0" w:type="dxa"/>
              <w:right w:w="0" w:type="dxa"/>
            </w:tcMar>
            <w:vAlign w:val="bottom"/>
          </w:tcPr>
          <w:p w14:paraId="090649AA"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1730" w:type="dxa"/>
            <w:gridSpan w:val="3"/>
            <w:tcBorders>
              <w:top w:val="nil"/>
              <w:left w:val="nil"/>
              <w:bottom w:val="nil"/>
              <w:right w:val="nil"/>
            </w:tcBorders>
            <w:tcMar>
              <w:top w:w="0" w:type="dxa"/>
              <w:left w:w="0" w:type="dxa"/>
              <w:bottom w:w="0" w:type="dxa"/>
              <w:right w:w="0" w:type="dxa"/>
            </w:tcMar>
            <w:vAlign w:val="bottom"/>
          </w:tcPr>
          <w:p w14:paraId="5144C38B" w14:textId="77777777" w:rsidR="002D237D" w:rsidRPr="002D237D" w:rsidRDefault="002D237D" w:rsidP="002D237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Форма по ОКУД</w:t>
            </w:r>
          </w:p>
        </w:tc>
        <w:tc>
          <w:tcPr>
            <w:tcW w:w="1920" w:type="dxa"/>
            <w:gridSpan w:val="8"/>
            <w:tcBorders>
              <w:top w:val="nil"/>
              <w:left w:val="single" w:sz="8" w:space="0" w:color="auto"/>
              <w:bottom w:val="single" w:sz="8" w:space="0" w:color="auto"/>
              <w:right w:val="single" w:sz="8" w:space="0" w:color="auto"/>
            </w:tcBorders>
            <w:tcMar>
              <w:top w:w="0" w:type="dxa"/>
              <w:left w:w="0" w:type="dxa"/>
              <w:bottom w:w="0" w:type="dxa"/>
              <w:right w:w="0" w:type="dxa"/>
            </w:tcMar>
            <w:vAlign w:val="bottom"/>
          </w:tcPr>
          <w:p w14:paraId="560E7B98" w14:textId="77777777" w:rsidR="002D237D" w:rsidRPr="002D237D" w:rsidRDefault="002D237D" w:rsidP="002D237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0503160</w:t>
            </w:r>
          </w:p>
        </w:tc>
      </w:tr>
      <w:tr w:rsidR="002D237D" w:rsidRPr="002D237D" w14:paraId="653E93C8" w14:textId="77777777">
        <w:trPr>
          <w:trHeight w:val="282"/>
        </w:trPr>
        <w:tc>
          <w:tcPr>
            <w:tcW w:w="6380" w:type="dxa"/>
            <w:gridSpan w:val="2"/>
            <w:tcBorders>
              <w:top w:val="nil"/>
              <w:left w:val="nil"/>
              <w:bottom w:val="nil"/>
              <w:right w:val="nil"/>
            </w:tcBorders>
            <w:tcMar>
              <w:top w:w="0" w:type="dxa"/>
              <w:left w:w="0" w:type="dxa"/>
              <w:bottom w:w="0" w:type="dxa"/>
              <w:right w:w="0" w:type="dxa"/>
            </w:tcMar>
            <w:vAlign w:val="bottom"/>
          </w:tcPr>
          <w:p w14:paraId="4913F59C" w14:textId="77777777" w:rsidR="002D237D" w:rsidRPr="002D237D" w:rsidRDefault="002D237D" w:rsidP="002D237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на 1 января 2020 г.</w:t>
            </w:r>
          </w:p>
        </w:tc>
        <w:tc>
          <w:tcPr>
            <w:tcW w:w="1500" w:type="dxa"/>
            <w:gridSpan w:val="2"/>
            <w:tcBorders>
              <w:top w:val="nil"/>
              <w:left w:val="nil"/>
              <w:bottom w:val="nil"/>
              <w:right w:val="nil"/>
            </w:tcBorders>
            <w:tcMar>
              <w:top w:w="0" w:type="dxa"/>
              <w:left w:w="0" w:type="dxa"/>
              <w:bottom w:w="0" w:type="dxa"/>
              <w:right w:w="0" w:type="dxa"/>
            </w:tcMar>
            <w:vAlign w:val="bottom"/>
          </w:tcPr>
          <w:p w14:paraId="1DC24BEC" w14:textId="77777777" w:rsidR="002D237D" w:rsidRPr="002D237D" w:rsidRDefault="002D237D" w:rsidP="002D237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Дата</w:t>
            </w:r>
          </w:p>
        </w:tc>
        <w:tc>
          <w:tcPr>
            <w:tcW w:w="1920" w:type="dxa"/>
            <w:gridSpan w:val="8"/>
            <w:tcBorders>
              <w:top w:val="nil"/>
              <w:left w:val="single" w:sz="8" w:space="0" w:color="auto"/>
              <w:bottom w:val="single" w:sz="8" w:space="0" w:color="auto"/>
              <w:right w:val="single" w:sz="8" w:space="0" w:color="auto"/>
            </w:tcBorders>
            <w:tcMar>
              <w:top w:w="0" w:type="dxa"/>
              <w:left w:w="0" w:type="dxa"/>
              <w:bottom w:w="0" w:type="dxa"/>
              <w:right w:w="0" w:type="dxa"/>
            </w:tcMar>
            <w:vAlign w:val="bottom"/>
          </w:tcPr>
          <w:p w14:paraId="41E765F1" w14:textId="77777777" w:rsidR="002D237D" w:rsidRPr="002D237D" w:rsidRDefault="002D237D" w:rsidP="002D237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01.01.2020</w:t>
            </w:r>
          </w:p>
        </w:tc>
      </w:tr>
      <w:tr w:rsidR="002D237D" w:rsidRPr="002D237D" w14:paraId="2E256A50" w14:textId="77777777">
        <w:trPr>
          <w:trHeight w:val="300"/>
        </w:trPr>
        <w:tc>
          <w:tcPr>
            <w:tcW w:w="6150" w:type="dxa"/>
            <w:tcBorders>
              <w:top w:val="nil"/>
              <w:left w:val="nil"/>
              <w:bottom w:val="nil"/>
              <w:right w:val="nil"/>
            </w:tcBorders>
            <w:tcMar>
              <w:top w:w="0" w:type="dxa"/>
              <w:left w:w="0" w:type="dxa"/>
              <w:bottom w:w="0" w:type="dxa"/>
              <w:right w:w="0" w:type="dxa"/>
            </w:tcMar>
            <w:vAlign w:val="bottom"/>
          </w:tcPr>
          <w:p w14:paraId="2CB85991"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Главный распорядитель, распорядитель,</w:t>
            </w:r>
          </w:p>
        </w:tc>
        <w:tc>
          <w:tcPr>
            <w:tcW w:w="239" w:type="dxa"/>
            <w:gridSpan w:val="2"/>
            <w:tcBorders>
              <w:top w:val="nil"/>
              <w:left w:val="nil"/>
              <w:bottom w:val="nil"/>
              <w:right w:val="nil"/>
            </w:tcBorders>
            <w:tcMar>
              <w:top w:w="0" w:type="dxa"/>
              <w:left w:w="0" w:type="dxa"/>
              <w:bottom w:w="0" w:type="dxa"/>
              <w:right w:w="0" w:type="dxa"/>
            </w:tcMar>
            <w:vAlign w:val="bottom"/>
          </w:tcPr>
          <w:p w14:paraId="3750D775"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1491" w:type="dxa"/>
            <w:tcBorders>
              <w:top w:val="nil"/>
              <w:left w:val="nil"/>
              <w:bottom w:val="nil"/>
              <w:right w:val="nil"/>
            </w:tcBorders>
            <w:tcMar>
              <w:top w:w="0" w:type="dxa"/>
              <w:left w:w="0" w:type="dxa"/>
              <w:bottom w:w="0" w:type="dxa"/>
              <w:right w:w="0" w:type="dxa"/>
            </w:tcMar>
            <w:vAlign w:val="bottom"/>
          </w:tcPr>
          <w:p w14:paraId="33667DCB"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1920" w:type="dxa"/>
            <w:gridSpan w:val="8"/>
            <w:tcBorders>
              <w:top w:val="nil"/>
              <w:left w:val="single" w:sz="8" w:space="0" w:color="auto"/>
              <w:bottom w:val="nil"/>
              <w:right w:val="single" w:sz="8" w:space="0" w:color="auto"/>
            </w:tcBorders>
            <w:tcMar>
              <w:top w:w="0" w:type="dxa"/>
              <w:left w:w="0" w:type="dxa"/>
              <w:bottom w:w="0" w:type="dxa"/>
              <w:right w:w="0" w:type="dxa"/>
            </w:tcMar>
            <w:vAlign w:val="bottom"/>
          </w:tcPr>
          <w:p w14:paraId="7DF4A9DC"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r>
      <w:tr w:rsidR="002D237D" w:rsidRPr="002D237D" w14:paraId="1B925651" w14:textId="77777777">
        <w:trPr>
          <w:trHeight w:val="195"/>
        </w:trPr>
        <w:tc>
          <w:tcPr>
            <w:tcW w:w="6150" w:type="dxa"/>
            <w:tcBorders>
              <w:top w:val="nil"/>
              <w:left w:val="nil"/>
              <w:bottom w:val="nil"/>
              <w:right w:val="nil"/>
            </w:tcBorders>
            <w:tcMar>
              <w:top w:w="0" w:type="dxa"/>
              <w:left w:w="0" w:type="dxa"/>
              <w:bottom w:w="0" w:type="dxa"/>
              <w:right w:w="0" w:type="dxa"/>
            </w:tcMar>
            <w:vAlign w:val="bottom"/>
          </w:tcPr>
          <w:p w14:paraId="6C6C4F9C"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xml:space="preserve">получатель бюджетных средств, главный администратор, </w:t>
            </w:r>
          </w:p>
        </w:tc>
        <w:tc>
          <w:tcPr>
            <w:tcW w:w="239" w:type="dxa"/>
            <w:gridSpan w:val="2"/>
            <w:tcBorders>
              <w:top w:val="nil"/>
              <w:left w:val="nil"/>
              <w:bottom w:val="nil"/>
              <w:right w:val="nil"/>
            </w:tcBorders>
            <w:tcMar>
              <w:top w:w="0" w:type="dxa"/>
              <w:left w:w="0" w:type="dxa"/>
              <w:bottom w:w="0" w:type="dxa"/>
              <w:right w:w="0" w:type="dxa"/>
            </w:tcMar>
            <w:vAlign w:val="bottom"/>
          </w:tcPr>
          <w:p w14:paraId="1236F7A1"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1491" w:type="dxa"/>
            <w:tcBorders>
              <w:top w:val="nil"/>
              <w:left w:val="nil"/>
              <w:bottom w:val="nil"/>
              <w:right w:val="nil"/>
            </w:tcBorders>
            <w:tcMar>
              <w:top w:w="0" w:type="dxa"/>
              <w:left w:w="0" w:type="dxa"/>
              <w:bottom w:w="0" w:type="dxa"/>
              <w:right w:w="0" w:type="dxa"/>
            </w:tcMar>
            <w:vAlign w:val="bottom"/>
          </w:tcPr>
          <w:p w14:paraId="61C69AF3"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1920" w:type="dxa"/>
            <w:gridSpan w:val="8"/>
            <w:tcBorders>
              <w:top w:val="nil"/>
              <w:left w:val="single" w:sz="8" w:space="0" w:color="auto"/>
              <w:bottom w:val="nil"/>
              <w:right w:val="single" w:sz="8" w:space="0" w:color="auto"/>
            </w:tcBorders>
            <w:tcMar>
              <w:top w:w="0" w:type="dxa"/>
              <w:left w:w="0" w:type="dxa"/>
              <w:bottom w:w="0" w:type="dxa"/>
              <w:right w:w="0" w:type="dxa"/>
            </w:tcMar>
            <w:vAlign w:val="bottom"/>
          </w:tcPr>
          <w:p w14:paraId="1B3356B6" w14:textId="77777777" w:rsidR="002D237D" w:rsidRPr="002D237D" w:rsidRDefault="002D237D" w:rsidP="002D237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47679269</w:t>
            </w:r>
          </w:p>
        </w:tc>
      </w:tr>
      <w:tr w:rsidR="002D237D" w:rsidRPr="002D237D" w14:paraId="19A9F41C" w14:textId="77777777">
        <w:trPr>
          <w:trHeight w:val="195"/>
        </w:trPr>
        <w:tc>
          <w:tcPr>
            <w:tcW w:w="6150" w:type="dxa"/>
            <w:tcBorders>
              <w:top w:val="nil"/>
              <w:left w:val="nil"/>
              <w:bottom w:val="nil"/>
              <w:right w:val="nil"/>
            </w:tcBorders>
            <w:tcMar>
              <w:top w:w="0" w:type="dxa"/>
              <w:left w:w="0" w:type="dxa"/>
              <w:bottom w:w="0" w:type="dxa"/>
              <w:right w:w="0" w:type="dxa"/>
            </w:tcMar>
            <w:vAlign w:val="bottom"/>
          </w:tcPr>
          <w:p w14:paraId="58061EDE"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администратор доходов бюджета,</w:t>
            </w:r>
          </w:p>
        </w:tc>
        <w:tc>
          <w:tcPr>
            <w:tcW w:w="239" w:type="dxa"/>
            <w:gridSpan w:val="2"/>
            <w:tcBorders>
              <w:top w:val="nil"/>
              <w:left w:val="nil"/>
              <w:bottom w:val="nil"/>
              <w:right w:val="nil"/>
            </w:tcBorders>
            <w:tcMar>
              <w:top w:w="0" w:type="dxa"/>
              <w:left w:w="0" w:type="dxa"/>
              <w:bottom w:w="0" w:type="dxa"/>
              <w:right w:w="0" w:type="dxa"/>
            </w:tcMar>
            <w:vAlign w:val="bottom"/>
          </w:tcPr>
          <w:p w14:paraId="7DDB0263"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1491" w:type="dxa"/>
            <w:tcBorders>
              <w:top w:val="nil"/>
              <w:left w:val="nil"/>
              <w:bottom w:val="nil"/>
              <w:right w:val="nil"/>
            </w:tcBorders>
            <w:tcMar>
              <w:top w:w="0" w:type="dxa"/>
              <w:left w:w="0" w:type="dxa"/>
              <w:bottom w:w="0" w:type="dxa"/>
              <w:right w:w="0" w:type="dxa"/>
            </w:tcMar>
            <w:vAlign w:val="bottom"/>
          </w:tcPr>
          <w:p w14:paraId="55F784B4" w14:textId="77777777" w:rsidR="002D237D" w:rsidRPr="002D237D" w:rsidRDefault="002D237D" w:rsidP="002D237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по ОКПО</w:t>
            </w:r>
          </w:p>
        </w:tc>
        <w:tc>
          <w:tcPr>
            <w:tcW w:w="1920" w:type="dxa"/>
            <w:gridSpan w:val="8"/>
            <w:tcBorders>
              <w:top w:val="nil"/>
              <w:left w:val="single" w:sz="8" w:space="0" w:color="auto"/>
              <w:bottom w:val="nil"/>
              <w:right w:val="single" w:sz="8" w:space="0" w:color="auto"/>
            </w:tcBorders>
            <w:tcMar>
              <w:top w:w="0" w:type="dxa"/>
              <w:left w:w="0" w:type="dxa"/>
              <w:bottom w:w="0" w:type="dxa"/>
              <w:right w:w="0" w:type="dxa"/>
            </w:tcMar>
            <w:vAlign w:val="bottom"/>
          </w:tcPr>
          <w:p w14:paraId="13AAC73C" w14:textId="77777777" w:rsidR="002D237D" w:rsidRPr="002D237D" w:rsidRDefault="002D237D" w:rsidP="002D237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D237D">
              <w:rPr>
                <w:rFonts w:ascii="Calibri" w:eastAsia="Times New Roman" w:hAnsi="Calibri" w:cs="Calibri"/>
                <w:color w:val="000000"/>
                <w:lang w:eastAsia="ru-RU"/>
              </w:rPr>
              <w:t> </w:t>
            </w:r>
          </w:p>
        </w:tc>
      </w:tr>
      <w:tr w:rsidR="002D237D" w:rsidRPr="002D237D" w14:paraId="5F076D28" w14:textId="77777777">
        <w:trPr>
          <w:trHeight w:val="195"/>
        </w:trPr>
        <w:tc>
          <w:tcPr>
            <w:tcW w:w="6150" w:type="dxa"/>
            <w:tcBorders>
              <w:top w:val="nil"/>
              <w:left w:val="nil"/>
              <w:bottom w:val="nil"/>
              <w:right w:val="nil"/>
            </w:tcBorders>
            <w:tcMar>
              <w:top w:w="0" w:type="dxa"/>
              <w:left w:w="0" w:type="dxa"/>
              <w:bottom w:w="0" w:type="dxa"/>
              <w:right w:w="0" w:type="dxa"/>
            </w:tcMar>
            <w:vAlign w:val="bottom"/>
          </w:tcPr>
          <w:p w14:paraId="28068933"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xml:space="preserve">главный администратор, администратор </w:t>
            </w:r>
          </w:p>
        </w:tc>
        <w:tc>
          <w:tcPr>
            <w:tcW w:w="239" w:type="dxa"/>
            <w:gridSpan w:val="2"/>
            <w:tcBorders>
              <w:top w:val="nil"/>
              <w:left w:val="nil"/>
              <w:bottom w:val="nil"/>
              <w:right w:val="nil"/>
            </w:tcBorders>
            <w:tcMar>
              <w:top w:w="0" w:type="dxa"/>
              <w:left w:w="0" w:type="dxa"/>
              <w:bottom w:w="0" w:type="dxa"/>
              <w:right w:w="0" w:type="dxa"/>
            </w:tcMar>
            <w:vAlign w:val="bottom"/>
          </w:tcPr>
          <w:p w14:paraId="1DCA37C1"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1491" w:type="dxa"/>
            <w:tcBorders>
              <w:top w:val="nil"/>
              <w:left w:val="nil"/>
              <w:bottom w:val="nil"/>
              <w:right w:val="nil"/>
            </w:tcBorders>
            <w:tcMar>
              <w:top w:w="0" w:type="dxa"/>
              <w:left w:w="0" w:type="dxa"/>
              <w:bottom w:w="0" w:type="dxa"/>
              <w:right w:w="0" w:type="dxa"/>
            </w:tcMar>
            <w:vAlign w:val="bottom"/>
          </w:tcPr>
          <w:p w14:paraId="71C9B2DD"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1920" w:type="dxa"/>
            <w:gridSpan w:val="8"/>
            <w:tcBorders>
              <w:top w:val="single" w:sz="8" w:space="0" w:color="auto"/>
              <w:left w:val="single" w:sz="8" w:space="0" w:color="auto"/>
              <w:bottom w:val="nil"/>
              <w:right w:val="single" w:sz="8" w:space="0" w:color="auto"/>
            </w:tcBorders>
            <w:tcMar>
              <w:top w:w="0" w:type="dxa"/>
              <w:left w:w="0" w:type="dxa"/>
              <w:bottom w:w="0" w:type="dxa"/>
              <w:right w:w="0" w:type="dxa"/>
            </w:tcMar>
            <w:vAlign w:val="bottom"/>
          </w:tcPr>
          <w:p w14:paraId="61DFBAA0"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r>
      <w:tr w:rsidR="002D237D" w:rsidRPr="002D237D" w14:paraId="7151D5B0" w14:textId="77777777">
        <w:trPr>
          <w:trHeight w:val="195"/>
        </w:trPr>
        <w:tc>
          <w:tcPr>
            <w:tcW w:w="6150" w:type="dxa"/>
            <w:tcBorders>
              <w:top w:val="nil"/>
              <w:left w:val="nil"/>
              <w:bottom w:val="nil"/>
              <w:right w:val="nil"/>
            </w:tcBorders>
            <w:tcMar>
              <w:top w:w="0" w:type="dxa"/>
              <w:left w:w="0" w:type="dxa"/>
              <w:bottom w:w="0" w:type="dxa"/>
              <w:right w:w="0" w:type="dxa"/>
            </w:tcMar>
            <w:vAlign w:val="bottom"/>
          </w:tcPr>
          <w:p w14:paraId="3AF379FD"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источников финансирования</w:t>
            </w:r>
          </w:p>
        </w:tc>
        <w:tc>
          <w:tcPr>
            <w:tcW w:w="239" w:type="dxa"/>
            <w:gridSpan w:val="2"/>
            <w:tcBorders>
              <w:top w:val="nil"/>
              <w:left w:val="nil"/>
              <w:bottom w:val="nil"/>
              <w:right w:val="nil"/>
            </w:tcBorders>
            <w:tcMar>
              <w:top w:w="0" w:type="dxa"/>
              <w:left w:w="0" w:type="dxa"/>
              <w:bottom w:w="0" w:type="dxa"/>
              <w:right w:w="0" w:type="dxa"/>
            </w:tcMar>
            <w:vAlign w:val="bottom"/>
          </w:tcPr>
          <w:p w14:paraId="299BAC50"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1491" w:type="dxa"/>
            <w:tcBorders>
              <w:top w:val="nil"/>
              <w:left w:val="nil"/>
              <w:bottom w:val="nil"/>
              <w:right w:val="nil"/>
            </w:tcBorders>
            <w:tcMar>
              <w:top w:w="0" w:type="dxa"/>
              <w:left w:w="0" w:type="dxa"/>
              <w:bottom w:w="0" w:type="dxa"/>
              <w:right w:w="0" w:type="dxa"/>
            </w:tcMar>
            <w:vAlign w:val="bottom"/>
          </w:tcPr>
          <w:p w14:paraId="542E44E4"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1920" w:type="dxa"/>
            <w:gridSpan w:val="8"/>
            <w:tcBorders>
              <w:top w:val="nil"/>
              <w:left w:val="single" w:sz="8" w:space="0" w:color="auto"/>
              <w:bottom w:val="nil"/>
              <w:right w:val="single" w:sz="8" w:space="0" w:color="auto"/>
            </w:tcBorders>
            <w:tcMar>
              <w:top w:w="0" w:type="dxa"/>
              <w:left w:w="0" w:type="dxa"/>
              <w:bottom w:w="0" w:type="dxa"/>
              <w:right w:w="0" w:type="dxa"/>
            </w:tcMar>
            <w:vAlign w:val="bottom"/>
          </w:tcPr>
          <w:p w14:paraId="0E15B1C7"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r>
      <w:tr w:rsidR="002D237D" w:rsidRPr="002D237D" w14:paraId="33D8BDAF" w14:textId="77777777">
        <w:tc>
          <w:tcPr>
            <w:tcW w:w="6380" w:type="dxa"/>
            <w:gridSpan w:val="2"/>
            <w:tcBorders>
              <w:top w:val="nil"/>
              <w:left w:val="nil"/>
              <w:bottom w:val="nil"/>
              <w:right w:val="nil"/>
            </w:tcBorders>
            <w:tcMar>
              <w:top w:w="0" w:type="dxa"/>
              <w:left w:w="0" w:type="dxa"/>
              <w:bottom w:w="0" w:type="dxa"/>
              <w:right w:w="0" w:type="dxa"/>
            </w:tcMar>
            <w:vAlign w:val="bottom"/>
          </w:tcPr>
          <w:p w14:paraId="6B7FBC31"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xml:space="preserve">дефицита бюджета </w:t>
            </w:r>
            <w:r w:rsidRPr="002D237D">
              <w:rPr>
                <w:rFonts w:ascii="Times New Roman" w:eastAsia="Times New Roman" w:hAnsi="Times New Roman" w:cs="Times New Roman"/>
                <w:color w:val="000000"/>
                <w:sz w:val="16"/>
                <w:szCs w:val="16"/>
                <w:u w:val="single"/>
                <w:lang w:eastAsia="ru-RU"/>
              </w:rPr>
              <w:t>территориальный отраслевой исполнительный орган государственной власти Свердловской области - Управление социальной политики Министерства социальной политики Свердловской области по Талицкому району___________________</w:t>
            </w:r>
          </w:p>
        </w:tc>
        <w:tc>
          <w:tcPr>
            <w:tcW w:w="1500" w:type="dxa"/>
            <w:gridSpan w:val="2"/>
            <w:tcBorders>
              <w:top w:val="nil"/>
              <w:left w:val="nil"/>
              <w:bottom w:val="nil"/>
              <w:right w:val="nil"/>
            </w:tcBorders>
            <w:tcMar>
              <w:top w:w="0" w:type="dxa"/>
              <w:left w:w="0" w:type="dxa"/>
              <w:bottom w:w="0" w:type="dxa"/>
              <w:right w:w="0" w:type="dxa"/>
            </w:tcMar>
            <w:vAlign w:val="bottom"/>
          </w:tcPr>
          <w:p w14:paraId="1E639C5D" w14:textId="77777777" w:rsidR="002D237D" w:rsidRPr="002D237D" w:rsidRDefault="002D237D" w:rsidP="002D237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Глава по БК</w:t>
            </w:r>
          </w:p>
        </w:tc>
        <w:tc>
          <w:tcPr>
            <w:tcW w:w="1920" w:type="dxa"/>
            <w:gridSpan w:val="8"/>
            <w:tcBorders>
              <w:top w:val="nil"/>
              <w:left w:val="single" w:sz="8" w:space="0" w:color="auto"/>
              <w:bottom w:val="single" w:sz="8" w:space="0" w:color="auto"/>
              <w:right w:val="single" w:sz="8" w:space="0" w:color="auto"/>
            </w:tcBorders>
            <w:tcMar>
              <w:top w:w="0" w:type="dxa"/>
              <w:left w:w="0" w:type="dxa"/>
              <w:bottom w:w="0" w:type="dxa"/>
              <w:right w:w="0" w:type="dxa"/>
            </w:tcMar>
            <w:vAlign w:val="bottom"/>
          </w:tcPr>
          <w:p w14:paraId="6E72594C" w14:textId="77777777" w:rsidR="002D237D" w:rsidRPr="002D237D" w:rsidRDefault="002D237D" w:rsidP="002D237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015</w:t>
            </w:r>
          </w:p>
        </w:tc>
      </w:tr>
      <w:tr w:rsidR="002D237D" w:rsidRPr="002D237D" w14:paraId="5411AA5B" w14:textId="77777777">
        <w:trPr>
          <w:trHeight w:val="280"/>
        </w:trPr>
        <w:tc>
          <w:tcPr>
            <w:tcW w:w="6150" w:type="dxa"/>
            <w:tcBorders>
              <w:top w:val="nil"/>
              <w:left w:val="nil"/>
              <w:bottom w:val="nil"/>
              <w:right w:val="nil"/>
            </w:tcBorders>
            <w:tcMar>
              <w:top w:w="0" w:type="dxa"/>
              <w:left w:w="0" w:type="dxa"/>
              <w:bottom w:w="0" w:type="dxa"/>
              <w:right w:w="0" w:type="dxa"/>
            </w:tcMar>
            <w:vAlign w:val="bottom"/>
          </w:tcPr>
          <w:p w14:paraId="1CF1ACD5"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xml:space="preserve">Наименование бюджета </w:t>
            </w:r>
          </w:p>
        </w:tc>
        <w:tc>
          <w:tcPr>
            <w:tcW w:w="239" w:type="dxa"/>
            <w:gridSpan w:val="2"/>
            <w:tcBorders>
              <w:top w:val="nil"/>
              <w:left w:val="nil"/>
              <w:bottom w:val="nil"/>
              <w:right w:val="nil"/>
            </w:tcBorders>
            <w:tcMar>
              <w:top w:w="0" w:type="dxa"/>
              <w:left w:w="0" w:type="dxa"/>
              <w:bottom w:w="0" w:type="dxa"/>
              <w:right w:w="0" w:type="dxa"/>
            </w:tcMar>
            <w:vAlign w:val="bottom"/>
          </w:tcPr>
          <w:p w14:paraId="7E801B13"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1491" w:type="dxa"/>
            <w:tcBorders>
              <w:top w:val="nil"/>
              <w:left w:val="nil"/>
              <w:bottom w:val="nil"/>
              <w:right w:val="nil"/>
            </w:tcBorders>
            <w:tcMar>
              <w:top w:w="0" w:type="dxa"/>
              <w:left w:w="0" w:type="dxa"/>
              <w:bottom w:w="0" w:type="dxa"/>
              <w:right w:w="0" w:type="dxa"/>
            </w:tcMar>
            <w:vAlign w:val="bottom"/>
          </w:tcPr>
          <w:p w14:paraId="139BB4D8"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1920" w:type="dxa"/>
            <w:gridSpan w:val="8"/>
            <w:tcBorders>
              <w:top w:val="nil"/>
              <w:left w:val="single" w:sz="8" w:space="0" w:color="auto"/>
              <w:bottom w:val="nil"/>
              <w:right w:val="single" w:sz="8" w:space="0" w:color="auto"/>
            </w:tcBorders>
            <w:tcMar>
              <w:top w:w="0" w:type="dxa"/>
              <w:left w:w="0" w:type="dxa"/>
              <w:bottom w:w="0" w:type="dxa"/>
              <w:right w:w="0" w:type="dxa"/>
            </w:tcMar>
            <w:vAlign w:val="bottom"/>
          </w:tcPr>
          <w:p w14:paraId="57758F92"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r>
      <w:tr w:rsidR="002D237D" w:rsidRPr="002D237D" w14:paraId="6CD1400B" w14:textId="77777777">
        <w:trPr>
          <w:trHeight w:val="210"/>
        </w:trPr>
        <w:tc>
          <w:tcPr>
            <w:tcW w:w="6380" w:type="dxa"/>
            <w:gridSpan w:val="2"/>
            <w:tcBorders>
              <w:top w:val="nil"/>
              <w:left w:val="nil"/>
              <w:bottom w:val="nil"/>
              <w:right w:val="nil"/>
            </w:tcBorders>
            <w:tcMar>
              <w:top w:w="0" w:type="dxa"/>
              <w:left w:w="0" w:type="dxa"/>
              <w:bottom w:w="0" w:type="dxa"/>
              <w:right w:w="0" w:type="dxa"/>
            </w:tcMar>
            <w:vAlign w:val="bottom"/>
          </w:tcPr>
          <w:p w14:paraId="44C1487D"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xml:space="preserve">(публично-правового образования) </w:t>
            </w:r>
            <w:r w:rsidRPr="002D237D">
              <w:rPr>
                <w:rFonts w:ascii="Times New Roman" w:eastAsia="Times New Roman" w:hAnsi="Times New Roman" w:cs="Times New Roman"/>
                <w:color w:val="000000"/>
                <w:sz w:val="16"/>
                <w:szCs w:val="16"/>
                <w:u w:val="single"/>
                <w:lang w:eastAsia="ru-RU"/>
              </w:rPr>
              <w:t>Бюджет Свердловской области</w:t>
            </w:r>
            <w:r w:rsidRPr="002D237D">
              <w:rPr>
                <w:rFonts w:ascii="Calibri" w:eastAsia="Times New Roman" w:hAnsi="Calibri" w:cs="Calibri"/>
                <w:color w:val="000000"/>
                <w:sz w:val="16"/>
                <w:szCs w:val="16"/>
                <w:lang w:eastAsia="ru-RU"/>
              </w:rPr>
              <w:t xml:space="preserve"> </w:t>
            </w:r>
          </w:p>
        </w:tc>
        <w:tc>
          <w:tcPr>
            <w:tcW w:w="1500" w:type="dxa"/>
            <w:gridSpan w:val="2"/>
            <w:tcBorders>
              <w:top w:val="nil"/>
              <w:left w:val="nil"/>
              <w:bottom w:val="nil"/>
              <w:right w:val="nil"/>
            </w:tcBorders>
            <w:tcMar>
              <w:top w:w="0" w:type="dxa"/>
              <w:left w:w="0" w:type="dxa"/>
              <w:bottom w:w="0" w:type="dxa"/>
              <w:right w:w="0" w:type="dxa"/>
            </w:tcMar>
            <w:vAlign w:val="bottom"/>
          </w:tcPr>
          <w:p w14:paraId="4606BEAC" w14:textId="77777777" w:rsidR="002D237D" w:rsidRPr="002D237D" w:rsidRDefault="002D237D" w:rsidP="002D237D">
            <w:pPr>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по ОКТМО</w:t>
            </w:r>
          </w:p>
        </w:tc>
        <w:tc>
          <w:tcPr>
            <w:tcW w:w="1920" w:type="dxa"/>
            <w:gridSpan w:val="8"/>
            <w:tcBorders>
              <w:top w:val="nil"/>
              <w:left w:val="single" w:sz="8" w:space="0" w:color="auto"/>
              <w:bottom w:val="nil"/>
              <w:right w:val="single" w:sz="8" w:space="0" w:color="auto"/>
            </w:tcBorders>
            <w:tcMar>
              <w:top w:w="0" w:type="dxa"/>
              <w:left w:w="0" w:type="dxa"/>
              <w:bottom w:w="0" w:type="dxa"/>
              <w:right w:w="0" w:type="dxa"/>
            </w:tcMar>
            <w:vAlign w:val="bottom"/>
          </w:tcPr>
          <w:p w14:paraId="0BCDAF78" w14:textId="77777777" w:rsidR="002D237D" w:rsidRPr="002D237D" w:rsidRDefault="002D237D" w:rsidP="002D237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6572400</w:t>
            </w:r>
          </w:p>
        </w:tc>
      </w:tr>
      <w:tr w:rsidR="002D237D" w:rsidRPr="002D237D" w14:paraId="225A9966" w14:textId="77777777">
        <w:trPr>
          <w:trHeight w:val="315"/>
        </w:trPr>
        <w:tc>
          <w:tcPr>
            <w:tcW w:w="6150" w:type="dxa"/>
            <w:tcBorders>
              <w:top w:val="nil"/>
              <w:left w:val="nil"/>
              <w:bottom w:val="nil"/>
              <w:right w:val="nil"/>
            </w:tcBorders>
            <w:tcMar>
              <w:top w:w="0" w:type="dxa"/>
              <w:left w:w="0" w:type="dxa"/>
              <w:bottom w:w="0" w:type="dxa"/>
              <w:right w:w="0" w:type="dxa"/>
            </w:tcMar>
            <w:vAlign w:val="bottom"/>
          </w:tcPr>
          <w:p w14:paraId="3292E1B4"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xml:space="preserve">Периодичность: месячная, </w:t>
            </w:r>
            <w:r w:rsidRPr="002D237D">
              <w:rPr>
                <w:rFonts w:ascii="Calibri" w:eastAsia="Times New Roman" w:hAnsi="Calibri" w:cs="Calibri"/>
                <w:color w:val="000000"/>
                <w:sz w:val="16"/>
                <w:szCs w:val="16"/>
                <w:u w:val="single"/>
                <w:lang w:eastAsia="ru-RU"/>
              </w:rPr>
              <w:t>квартальная</w:t>
            </w:r>
            <w:r w:rsidRPr="002D237D">
              <w:rPr>
                <w:rFonts w:ascii="Calibri" w:eastAsia="Times New Roman" w:hAnsi="Calibri" w:cs="Calibri"/>
                <w:color w:val="000000"/>
                <w:sz w:val="16"/>
                <w:szCs w:val="16"/>
                <w:lang w:eastAsia="ru-RU"/>
              </w:rPr>
              <w:t>, годовая</w:t>
            </w:r>
          </w:p>
        </w:tc>
        <w:tc>
          <w:tcPr>
            <w:tcW w:w="239" w:type="dxa"/>
            <w:gridSpan w:val="2"/>
            <w:tcBorders>
              <w:top w:val="nil"/>
              <w:left w:val="nil"/>
              <w:bottom w:val="nil"/>
              <w:right w:val="nil"/>
            </w:tcBorders>
            <w:tcMar>
              <w:top w:w="0" w:type="dxa"/>
              <w:left w:w="0" w:type="dxa"/>
              <w:bottom w:w="0" w:type="dxa"/>
              <w:right w:w="0" w:type="dxa"/>
            </w:tcMar>
            <w:vAlign w:val="bottom"/>
          </w:tcPr>
          <w:p w14:paraId="47E98C09"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1491" w:type="dxa"/>
            <w:tcBorders>
              <w:top w:val="nil"/>
              <w:left w:val="nil"/>
              <w:bottom w:val="nil"/>
              <w:right w:val="nil"/>
            </w:tcBorders>
            <w:tcMar>
              <w:top w:w="0" w:type="dxa"/>
              <w:left w:w="0" w:type="dxa"/>
              <w:bottom w:w="0" w:type="dxa"/>
              <w:right w:w="0" w:type="dxa"/>
            </w:tcMar>
            <w:vAlign w:val="bottom"/>
          </w:tcPr>
          <w:p w14:paraId="65AE0059"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1920" w:type="dxa"/>
            <w:gridSpan w:val="8"/>
            <w:tcBorders>
              <w:top w:val="single" w:sz="8" w:space="0" w:color="auto"/>
              <w:left w:val="single" w:sz="8" w:space="0" w:color="auto"/>
              <w:bottom w:val="nil"/>
              <w:right w:val="single" w:sz="8" w:space="0" w:color="auto"/>
            </w:tcBorders>
            <w:tcMar>
              <w:top w:w="0" w:type="dxa"/>
              <w:left w:w="0" w:type="dxa"/>
              <w:bottom w:w="0" w:type="dxa"/>
              <w:right w:w="0" w:type="dxa"/>
            </w:tcMar>
            <w:vAlign w:val="bottom"/>
          </w:tcPr>
          <w:p w14:paraId="5F503052"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r>
      <w:tr w:rsidR="002D237D" w:rsidRPr="002D237D" w14:paraId="2ED0FCDA" w14:textId="77777777">
        <w:trPr>
          <w:trHeight w:val="282"/>
        </w:trPr>
        <w:tc>
          <w:tcPr>
            <w:tcW w:w="6150" w:type="dxa"/>
            <w:tcBorders>
              <w:top w:val="nil"/>
              <w:left w:val="nil"/>
              <w:bottom w:val="nil"/>
              <w:right w:val="nil"/>
            </w:tcBorders>
            <w:tcMar>
              <w:top w:w="0" w:type="dxa"/>
              <w:left w:w="0" w:type="dxa"/>
              <w:bottom w:w="0" w:type="dxa"/>
              <w:right w:w="0" w:type="dxa"/>
            </w:tcMar>
            <w:vAlign w:val="bottom"/>
          </w:tcPr>
          <w:p w14:paraId="08BBAF35"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Единица измерения: руб.</w:t>
            </w:r>
          </w:p>
        </w:tc>
        <w:tc>
          <w:tcPr>
            <w:tcW w:w="239" w:type="dxa"/>
            <w:gridSpan w:val="2"/>
            <w:tcBorders>
              <w:top w:val="nil"/>
              <w:left w:val="nil"/>
              <w:bottom w:val="nil"/>
              <w:right w:val="nil"/>
            </w:tcBorders>
            <w:tcMar>
              <w:top w:w="0" w:type="dxa"/>
              <w:left w:w="0" w:type="dxa"/>
              <w:bottom w:w="0" w:type="dxa"/>
              <w:right w:w="0" w:type="dxa"/>
            </w:tcMar>
            <w:vAlign w:val="bottom"/>
          </w:tcPr>
          <w:p w14:paraId="233D2CDE"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1491" w:type="dxa"/>
            <w:tcBorders>
              <w:top w:val="nil"/>
              <w:left w:val="nil"/>
              <w:bottom w:val="nil"/>
              <w:right w:val="nil"/>
            </w:tcBorders>
            <w:tcMar>
              <w:top w:w="0" w:type="dxa"/>
              <w:left w:w="0" w:type="dxa"/>
              <w:bottom w:w="0" w:type="dxa"/>
              <w:right w:w="0" w:type="dxa"/>
            </w:tcMar>
            <w:vAlign w:val="bottom"/>
          </w:tcPr>
          <w:p w14:paraId="7CEF055B" w14:textId="77777777" w:rsidR="002D237D" w:rsidRPr="002D237D" w:rsidRDefault="002D237D" w:rsidP="002D237D">
            <w:pPr>
              <w:autoSpaceDE w:val="0"/>
              <w:autoSpaceDN w:val="0"/>
              <w:adjustRightInd w:val="0"/>
              <w:spacing w:before="280" w:after="0" w:line="240" w:lineRule="auto"/>
              <w:jc w:val="right"/>
              <w:rPr>
                <w:rFonts w:ascii="Times New Roman" w:eastAsia="Times New Roman" w:hAnsi="Times New Roman" w:cs="Times New Roman"/>
                <w:sz w:val="24"/>
                <w:szCs w:val="24"/>
                <w:lang w:eastAsia="ru-RU"/>
              </w:rPr>
            </w:pPr>
            <w:r w:rsidRPr="002D237D">
              <w:rPr>
                <w:rFonts w:ascii="Times New Roman" w:eastAsia="Times New Roman" w:hAnsi="Times New Roman" w:cs="Times New Roman"/>
                <w:color w:val="000000"/>
                <w:sz w:val="16"/>
                <w:szCs w:val="16"/>
                <w:lang w:eastAsia="ru-RU"/>
              </w:rPr>
              <w:t>по ОКЕИ</w:t>
            </w:r>
          </w:p>
        </w:tc>
        <w:tc>
          <w:tcPr>
            <w:tcW w:w="1920" w:type="dxa"/>
            <w:gridSpan w:val="8"/>
            <w:tcBorders>
              <w:top w:val="single" w:sz="8" w:space="0" w:color="auto"/>
              <w:left w:val="single" w:sz="8" w:space="0" w:color="auto"/>
              <w:bottom w:val="single" w:sz="8" w:space="0" w:color="auto"/>
              <w:right w:val="single" w:sz="8" w:space="0" w:color="auto"/>
            </w:tcBorders>
            <w:tcMar>
              <w:top w:w="0" w:type="dxa"/>
              <w:left w:w="0" w:type="dxa"/>
              <w:bottom w:w="0" w:type="dxa"/>
              <w:right w:w="0" w:type="dxa"/>
            </w:tcMar>
            <w:vAlign w:val="bottom"/>
          </w:tcPr>
          <w:p w14:paraId="78AD638C" w14:textId="77777777" w:rsidR="002D237D" w:rsidRPr="002D237D" w:rsidRDefault="002D237D" w:rsidP="002D237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383</w:t>
            </w:r>
          </w:p>
        </w:tc>
      </w:tr>
      <w:tr w:rsidR="002D237D" w:rsidRPr="002D237D" w14:paraId="5220AAFD" w14:textId="77777777">
        <w:trPr>
          <w:trHeight w:val="282"/>
        </w:trPr>
        <w:tc>
          <w:tcPr>
            <w:tcW w:w="6150" w:type="dxa"/>
            <w:tcBorders>
              <w:top w:val="nil"/>
              <w:left w:val="nil"/>
              <w:bottom w:val="nil"/>
              <w:right w:val="nil"/>
            </w:tcBorders>
            <w:tcMar>
              <w:top w:w="0" w:type="dxa"/>
              <w:left w:w="0" w:type="dxa"/>
              <w:bottom w:w="0" w:type="dxa"/>
              <w:right w:w="0" w:type="dxa"/>
            </w:tcMar>
            <w:vAlign w:val="bottom"/>
          </w:tcPr>
          <w:p w14:paraId="22810EF0"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239" w:type="dxa"/>
            <w:gridSpan w:val="2"/>
            <w:tcBorders>
              <w:top w:val="nil"/>
              <w:left w:val="nil"/>
              <w:bottom w:val="nil"/>
              <w:right w:val="nil"/>
            </w:tcBorders>
            <w:tcMar>
              <w:top w:w="0" w:type="dxa"/>
              <w:left w:w="0" w:type="dxa"/>
              <w:bottom w:w="0" w:type="dxa"/>
              <w:right w:w="0" w:type="dxa"/>
            </w:tcMar>
            <w:vAlign w:val="bottom"/>
          </w:tcPr>
          <w:p w14:paraId="4C26DB90"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1491" w:type="dxa"/>
            <w:tcBorders>
              <w:top w:val="nil"/>
              <w:left w:val="nil"/>
              <w:bottom w:val="nil"/>
              <w:right w:val="nil"/>
            </w:tcBorders>
            <w:tcMar>
              <w:top w:w="0" w:type="dxa"/>
              <w:left w:w="0" w:type="dxa"/>
              <w:bottom w:w="0" w:type="dxa"/>
              <w:right w:w="0" w:type="dxa"/>
            </w:tcMar>
            <w:vAlign w:val="bottom"/>
          </w:tcPr>
          <w:p w14:paraId="09C1FD01"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1680" w:type="dxa"/>
            <w:tcBorders>
              <w:top w:val="nil"/>
              <w:left w:val="nil"/>
              <w:bottom w:val="nil"/>
              <w:right w:val="nil"/>
            </w:tcBorders>
            <w:tcMar>
              <w:top w:w="0" w:type="dxa"/>
              <w:left w:w="0" w:type="dxa"/>
              <w:bottom w:w="0" w:type="dxa"/>
              <w:right w:w="0" w:type="dxa"/>
            </w:tcMar>
            <w:vAlign w:val="bottom"/>
          </w:tcPr>
          <w:p w14:paraId="7213D319"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60" w:type="dxa"/>
            <w:gridSpan w:val="2"/>
            <w:tcBorders>
              <w:top w:val="nil"/>
              <w:left w:val="nil"/>
              <w:bottom w:val="nil"/>
              <w:right w:val="nil"/>
            </w:tcBorders>
            <w:tcMar>
              <w:top w:w="0" w:type="dxa"/>
              <w:left w:w="0" w:type="dxa"/>
              <w:bottom w:w="0" w:type="dxa"/>
              <w:right w:w="0" w:type="dxa"/>
            </w:tcMar>
          </w:tcPr>
          <w:p w14:paraId="7D9647B6"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60" w:type="dxa"/>
            <w:gridSpan w:val="2"/>
            <w:tcBorders>
              <w:top w:val="nil"/>
              <w:left w:val="nil"/>
              <w:bottom w:val="nil"/>
              <w:right w:val="nil"/>
            </w:tcBorders>
            <w:tcMar>
              <w:top w:w="0" w:type="dxa"/>
              <w:left w:w="0" w:type="dxa"/>
              <w:bottom w:w="0" w:type="dxa"/>
              <w:right w:w="0" w:type="dxa"/>
            </w:tcMar>
          </w:tcPr>
          <w:p w14:paraId="094A0509"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60" w:type="dxa"/>
            <w:gridSpan w:val="2"/>
            <w:tcBorders>
              <w:top w:val="nil"/>
              <w:left w:val="nil"/>
              <w:bottom w:val="nil"/>
              <w:right w:val="nil"/>
            </w:tcBorders>
            <w:tcMar>
              <w:top w:w="0" w:type="dxa"/>
              <w:left w:w="0" w:type="dxa"/>
              <w:bottom w:w="0" w:type="dxa"/>
              <w:right w:w="0" w:type="dxa"/>
            </w:tcMar>
          </w:tcPr>
          <w:p w14:paraId="77AFDDBE"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60" w:type="dxa"/>
            <w:tcBorders>
              <w:top w:val="nil"/>
              <w:left w:val="nil"/>
              <w:bottom w:val="nil"/>
              <w:right w:val="nil"/>
            </w:tcBorders>
            <w:tcMar>
              <w:top w:w="0" w:type="dxa"/>
              <w:left w:w="0" w:type="dxa"/>
              <w:bottom w:w="0" w:type="dxa"/>
              <w:right w:w="0" w:type="dxa"/>
            </w:tcMar>
          </w:tcPr>
          <w:p w14:paraId="30DABA0F"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r>
      <w:tr w:rsidR="002D237D" w:rsidRPr="002D237D" w14:paraId="454EE1DB" w14:textId="77777777">
        <w:trPr>
          <w:trHeight w:val="282"/>
        </w:trPr>
        <w:tc>
          <w:tcPr>
            <w:tcW w:w="9560" w:type="dxa"/>
            <w:gridSpan w:val="5"/>
            <w:tcBorders>
              <w:top w:val="nil"/>
              <w:left w:val="nil"/>
              <w:bottom w:val="nil"/>
              <w:right w:val="nil"/>
            </w:tcBorders>
            <w:tcMar>
              <w:top w:w="0" w:type="dxa"/>
              <w:left w:w="0" w:type="dxa"/>
              <w:bottom w:w="0" w:type="dxa"/>
              <w:right w:w="0" w:type="dxa"/>
            </w:tcMar>
            <w:vAlign w:val="bottom"/>
          </w:tcPr>
          <w:p w14:paraId="4A4C8812"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0"/>
                <w:szCs w:val="20"/>
                <w:lang w:eastAsia="ru-RU"/>
              </w:rPr>
              <w:t> </w:t>
            </w:r>
          </w:p>
        </w:tc>
        <w:tc>
          <w:tcPr>
            <w:tcW w:w="60" w:type="dxa"/>
            <w:gridSpan w:val="2"/>
            <w:tcBorders>
              <w:top w:val="nil"/>
              <w:left w:val="nil"/>
              <w:bottom w:val="nil"/>
              <w:right w:val="nil"/>
            </w:tcBorders>
            <w:tcMar>
              <w:top w:w="0" w:type="dxa"/>
              <w:left w:w="0" w:type="dxa"/>
              <w:bottom w:w="0" w:type="dxa"/>
              <w:right w:w="0" w:type="dxa"/>
            </w:tcMar>
          </w:tcPr>
          <w:p w14:paraId="750D0469"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b/>
                <w:bCs/>
                <w:color w:val="000000"/>
                <w:sz w:val="28"/>
                <w:szCs w:val="28"/>
                <w:lang w:eastAsia="ru-RU"/>
              </w:rPr>
              <w:t> </w:t>
            </w:r>
          </w:p>
        </w:tc>
        <w:tc>
          <w:tcPr>
            <w:tcW w:w="60" w:type="dxa"/>
            <w:gridSpan w:val="2"/>
            <w:tcBorders>
              <w:top w:val="nil"/>
              <w:left w:val="nil"/>
              <w:bottom w:val="nil"/>
              <w:right w:val="nil"/>
            </w:tcBorders>
            <w:tcMar>
              <w:top w:w="0" w:type="dxa"/>
              <w:left w:w="0" w:type="dxa"/>
              <w:bottom w:w="0" w:type="dxa"/>
              <w:right w:w="0" w:type="dxa"/>
            </w:tcMar>
          </w:tcPr>
          <w:p w14:paraId="0F6F233D"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b/>
                <w:bCs/>
                <w:color w:val="000000"/>
                <w:sz w:val="28"/>
                <w:szCs w:val="28"/>
                <w:lang w:eastAsia="ru-RU"/>
              </w:rPr>
              <w:t> </w:t>
            </w:r>
          </w:p>
        </w:tc>
        <w:tc>
          <w:tcPr>
            <w:tcW w:w="60" w:type="dxa"/>
            <w:gridSpan w:val="2"/>
            <w:tcBorders>
              <w:top w:val="nil"/>
              <w:left w:val="nil"/>
              <w:bottom w:val="nil"/>
              <w:right w:val="nil"/>
            </w:tcBorders>
            <w:tcMar>
              <w:top w:w="0" w:type="dxa"/>
              <w:left w:w="0" w:type="dxa"/>
              <w:bottom w:w="0" w:type="dxa"/>
              <w:right w:w="0" w:type="dxa"/>
            </w:tcMar>
          </w:tcPr>
          <w:p w14:paraId="35A78EA3"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b/>
                <w:bCs/>
                <w:color w:val="000000"/>
                <w:sz w:val="28"/>
                <w:szCs w:val="28"/>
                <w:lang w:eastAsia="ru-RU"/>
              </w:rPr>
              <w:t> </w:t>
            </w:r>
          </w:p>
        </w:tc>
        <w:tc>
          <w:tcPr>
            <w:tcW w:w="60" w:type="dxa"/>
            <w:tcBorders>
              <w:top w:val="nil"/>
              <w:left w:val="nil"/>
              <w:bottom w:val="nil"/>
              <w:right w:val="nil"/>
            </w:tcBorders>
            <w:tcMar>
              <w:top w:w="0" w:type="dxa"/>
              <w:left w:w="0" w:type="dxa"/>
              <w:bottom w:w="0" w:type="dxa"/>
              <w:right w:w="0" w:type="dxa"/>
            </w:tcMar>
          </w:tcPr>
          <w:p w14:paraId="7817D4E2"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b/>
                <w:bCs/>
                <w:color w:val="000000"/>
                <w:sz w:val="28"/>
                <w:szCs w:val="28"/>
                <w:lang w:eastAsia="ru-RU"/>
              </w:rPr>
              <w:t> </w:t>
            </w:r>
          </w:p>
        </w:tc>
      </w:tr>
    </w:tbl>
    <w:p w14:paraId="7E3B5CDB" w14:textId="77777777" w:rsidR="002D237D" w:rsidRPr="002D237D" w:rsidRDefault="002D237D" w:rsidP="002D237D">
      <w:pPr>
        <w:autoSpaceDE w:val="0"/>
        <w:autoSpaceDN w:val="0"/>
        <w:adjustRightInd w:val="0"/>
        <w:spacing w:after="0" w:line="360" w:lineRule="auto"/>
        <w:rPr>
          <w:rFonts w:ascii="Times New Roman" w:eastAsia="Times New Roman" w:hAnsi="Times New Roman" w:cs="Times New Roman"/>
          <w:sz w:val="24"/>
          <w:szCs w:val="24"/>
          <w:lang w:eastAsia="ru-RU"/>
        </w:rPr>
      </w:pPr>
      <w:r w:rsidRPr="002D237D">
        <w:rPr>
          <w:rFonts w:ascii="Calibri" w:eastAsia="Times New Roman" w:hAnsi="Calibri" w:cs="Calibri"/>
          <w:b/>
          <w:bCs/>
          <w:color w:val="000000"/>
          <w:sz w:val="28"/>
          <w:szCs w:val="28"/>
          <w:lang w:eastAsia="ru-RU"/>
        </w:rPr>
        <w:t> </w:t>
      </w:r>
    </w:p>
    <w:p w14:paraId="466636A5" w14:textId="77777777" w:rsidR="002D237D" w:rsidRPr="002D237D" w:rsidRDefault="002D237D" w:rsidP="002D237D">
      <w:pPr>
        <w:autoSpaceDE w:val="0"/>
        <w:autoSpaceDN w:val="0"/>
        <w:adjustRightInd w:val="0"/>
        <w:spacing w:after="0" w:line="240" w:lineRule="auto"/>
        <w:ind w:firstLine="700"/>
        <w:jc w:val="center"/>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b/>
          <w:bCs/>
          <w:color w:val="000000"/>
          <w:sz w:val="28"/>
          <w:szCs w:val="28"/>
          <w:lang w:eastAsia="ru-RU"/>
        </w:rPr>
        <w:t>Раздел 1. «Организационная структура субъекта бюджетной отчетности»</w:t>
      </w:r>
    </w:p>
    <w:p w14:paraId="5A4B1FCC"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w:t>
      </w:r>
    </w:p>
    <w:p w14:paraId="0F0FB65F"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shd w:val="clear" w:color="auto" w:fill="FFFFFF"/>
          <w:lang w:eastAsia="ru-RU"/>
        </w:rPr>
        <w:t>Управление социальной политики Министерства социальной политики Свердловской области по Талицкому району (далее- Управление) является территориальным отраслевым исполнительным органом государственной власти Свердловской области, входящим в структуру исполнительных органов государственной власти Свердловской области, обеспечивающим в пределах своей компетенции проведение государственной политики в сферах социальной защиты населения, социального обслуживания граждан, опеки и попечительства на территории Талицкого района.</w:t>
      </w:r>
    </w:p>
    <w:p w14:paraId="68D40525"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Сокращенное наименование Управления – Управление социальной политики по Талицкому району (далее – Управление).</w:t>
      </w:r>
    </w:p>
    <w:p w14:paraId="28D643D8"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shd w:val="clear" w:color="auto" w:fill="FFFFFF"/>
          <w:lang w:eastAsia="ru-RU"/>
        </w:rPr>
        <w:t>Управление является органом опеки и попечительства на территории Талицкого района.</w:t>
      </w:r>
    </w:p>
    <w:p w14:paraId="3EF5826C"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Место нахождения Управления: Свердловская область, индекс 623640, г.Талица, ул. Ленина, д.71.</w:t>
      </w:r>
    </w:p>
    <w:p w14:paraId="6B99319D"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Начальник управления: Алемасова Елена Семеновна, назначена на должность Главным управлением социальной защиты населения Свердловской области приказ № 112 от 05.03.1997 года. </w:t>
      </w:r>
    </w:p>
    <w:p w14:paraId="6F113FB4"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Управление выполняет возложенные на него полномочия, предусмотренные:</w:t>
      </w:r>
    </w:p>
    <w:p w14:paraId="03C5DD59"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Постановлением Правительства Свердловской области от 07.11.2008 № 1164-ПП «Об утверждении Положений о </w:t>
      </w:r>
      <w:r w:rsidRPr="002D237D">
        <w:rPr>
          <w:rFonts w:ascii="Microsoft Sans Serif" w:eastAsia="Times New Roman" w:hAnsi="Microsoft Sans Serif" w:cs="Microsoft Sans Serif"/>
          <w:color w:val="000000"/>
          <w:sz w:val="28"/>
          <w:szCs w:val="28"/>
          <w:lang w:eastAsia="ru-RU"/>
        </w:rPr>
        <w:lastRenderedPageBreak/>
        <w:t>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в новой редакции» (с изменениями, внесенными постановлениями Правительства Свердловской области от 09.07.2009 № 813-ПП, от 09.09.2010 № 1313-ПП, от 27.10.2011 № 1456-ПП, от 12.07.2012 № 783-ПП, от 04.04.2013 № 435-ПП, от 06.05.2013 № 562-ПП, от 05.07.2013 № 835-ПП, от 18.03.2014 № 188-ПП, от 26.08.2015 № 766-ПП, от 22.01.2016 № 44-ПП, от 22.01.2016 № 45-ПП, от 02.03.2016 № 131-ПП, от 31.03.2016 № 202-ПП, от 27.07.2016 № 522-ПП, от 18.10.2016 № 734-ПП, от 30.03.2017 № 213-ПП, от 27.04.2017 № 291-ПП, от 07.12.2017 № 906-ПП, от 27.02.2019 №131-ПП, 18.09.2019 №592-ПП).</w:t>
      </w:r>
    </w:p>
    <w:p w14:paraId="58C943AC"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Управление обладает правами юридического лица, имеет печати с изображением Государственного герба Российской Федерации, малого герба Свердловской области и своим наименованием, а также соответствующие штампы и бланки.</w:t>
      </w:r>
    </w:p>
    <w:p w14:paraId="3C35FAFF"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Контроль, координацию и методическое руководство деятельностью Управления осуществляет Министерство социальной политики Свердловской области.</w:t>
      </w:r>
    </w:p>
    <w:p w14:paraId="7DEAD67C"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Главный распорядитель бюджетных средств: Министерство социальной политики Свердловской области.</w:t>
      </w:r>
    </w:p>
    <w:p w14:paraId="353348AF"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Организационно-правовая форма Управления – государственные казенное учреждение субъекта Российской Федерации.</w:t>
      </w:r>
    </w:p>
    <w:p w14:paraId="0B78424F"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В соответствии с Положением Управление осуществляет на территории Свердловской области следующие полномочия:</w:t>
      </w:r>
    </w:p>
    <w:p w14:paraId="1F949749"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В сфере социальной защиты населения:</w:t>
      </w:r>
    </w:p>
    <w:p w14:paraId="227C830B"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1) участие в реализации государственной политики в сфере социальной защиты населения, осуществление мероприятий по повышению уровня социального обеспечения населения;</w:t>
      </w:r>
    </w:p>
    <w:p w14:paraId="1DBC0754"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2) обеспечение в соответствии с законодательством Российской Федерации и Свердловской области соблюдения прав и свобод человека и гражданина;</w:t>
      </w:r>
    </w:p>
    <w:p w14:paraId="5171DC2F"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3) формирование и ведение регистра категорий граждан, имеющих право на получение мер социальной поддержки, проживающих на территории Свердловской области;</w:t>
      </w:r>
    </w:p>
    <w:p w14:paraId="1818D988"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4) контроль за осуществлением органами местного самоуправления муниципальных образований, расположенных на территории Свердловской области, переданного им государственного полномочия Свердловской области по предоставлению субсидий на оплату жилого помещения и коммунальных услуг в форме проверок, в том числе выборочных, соблюдения порядка предоставления субсидий на оплату жилого помещения и коммунальных услуг, в том числе проверок, </w:t>
      </w:r>
      <w:r w:rsidRPr="002D237D">
        <w:rPr>
          <w:rFonts w:ascii="Microsoft Sans Serif" w:eastAsia="Times New Roman" w:hAnsi="Microsoft Sans Serif" w:cs="Microsoft Sans Serif"/>
          <w:color w:val="000000"/>
          <w:sz w:val="28"/>
          <w:szCs w:val="28"/>
          <w:lang w:eastAsia="ru-RU"/>
        </w:rPr>
        <w:lastRenderedPageBreak/>
        <w:t>проводимых в связи с обращениями граждан или организаций, обоснованности предоставления гражданам субсидий на оплату жилого помещения и коммунальных услуг, а также обоснованности произведенных расходов на оплату услуг по доставке этих субсидий и данных, отраженных в отчетах;</w:t>
      </w:r>
    </w:p>
    <w:p w14:paraId="0C5E03D0"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5) контроль за осуществлением органами местного самоуправления муниципальных образований, расположенных на территории Свердловской области, переданных им государственных полномочий по предоставлению компенсации расходов на оплату жилого помещения и коммунальных услуг в форме проверок, в том числе выборочных, соблюдения порядка предоставления компенсации расходов на оплату жилого помещения и коммунальных услуг, в том числе проверок, проводимых в связи с обращениями граждан или организаций, обоснованности предоставления гражданам компенсации расходов на оплату жилого помещения и коммунальных услуг, а также обоснованности произведенных расходов на оплату услуг по доставке этих компенсаций и данных, отраженных в отчетах;</w:t>
      </w:r>
    </w:p>
    <w:p w14:paraId="0DC4E808"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6) выплата пособий (компенсаций, выплат) в соответствии с законодательством Российской Федерации и Свердловской области.</w:t>
      </w:r>
    </w:p>
    <w:p w14:paraId="5606277D"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В сфере социального обслуживания граждан:</w:t>
      </w:r>
    </w:p>
    <w:p w14:paraId="4525C32C"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1) признание граждан нуждающимися в социальном обслуживании;</w:t>
      </w:r>
    </w:p>
    <w:p w14:paraId="54BD43E1"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2) составление индивидуальной программы предоставления социальных услуг.</w:t>
      </w:r>
    </w:p>
    <w:p w14:paraId="7BE1E0DB"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В сфере опеки и попечительства:</w:t>
      </w:r>
    </w:p>
    <w:p w14:paraId="237C34C3"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1) выявление и учет граждан, нуждающихся в установлении над ними опеки или попечительства;</w:t>
      </w:r>
    </w:p>
    <w:p w14:paraId="6F00D269"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2) обращение в суд в случаях, предусмотренных законодательством Российской Федерации и Свердловской области;</w:t>
      </w:r>
    </w:p>
    <w:p w14:paraId="0D95017B"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3) установление опеки или попечительства;</w:t>
      </w:r>
    </w:p>
    <w:p w14:paraId="28667E90"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4) осуществление надзора за деятельностью опекунов и попечителей, организаций, в которые помещены недееспособные или не полностью дееспособные граждане;</w:t>
      </w:r>
    </w:p>
    <w:p w14:paraId="7F121A99"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5) освобождение и отстранение в соответствии с законодательством Российской Федерации и Свердловской области опекунов и попечителей от исполнения ими своих обязанностей;</w:t>
      </w:r>
    </w:p>
    <w:p w14:paraId="749359F0"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6) выдача разрешений на совершение сделок с имуществом подопечных;</w:t>
      </w:r>
    </w:p>
    <w:p w14:paraId="53EE3DDA"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7) заключение договоров доверительного управления имуществом подопечных;</w:t>
      </w:r>
    </w:p>
    <w:p w14:paraId="75C7C329"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8) представление законных интересов несовершеннолетних граждан и недееспособных граждан, находящихся под опекой или </w:t>
      </w:r>
      <w:r w:rsidRPr="002D237D">
        <w:rPr>
          <w:rFonts w:ascii="Microsoft Sans Serif" w:eastAsia="Times New Roman" w:hAnsi="Microsoft Sans Serif" w:cs="Microsoft Sans Serif"/>
          <w:color w:val="000000"/>
          <w:sz w:val="28"/>
          <w:szCs w:val="28"/>
          <w:lang w:eastAsia="ru-RU"/>
        </w:rPr>
        <w:lastRenderedPageBreak/>
        <w:t>попечительством, в случаях, предусмотренных законодательством Российской Федерации и Свердловской области;</w:t>
      </w:r>
    </w:p>
    <w:p w14:paraId="0B96FC7A"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9) выдача разрешений на раздельное проживание попечителей и их несовершеннолетних подопечных;</w:t>
      </w:r>
    </w:p>
    <w:p w14:paraId="3A607C1C"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10) подбор, учет и подготовка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законодательством формах;</w:t>
      </w:r>
    </w:p>
    <w:p w14:paraId="228602F5"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11) проведение проверок условий жизни подопечных, соблюдения опекунами и попечителями прав и законных интересов подопечных, обеспечения сохранности их имущества, а также исполнения опекунами и попечителями требований к осуществлению ими прав и исполнению обязанностей опекунов или попечителей;</w:t>
      </w:r>
    </w:p>
    <w:p w14:paraId="0A2C411B"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12) информирование граждан, выразивших желание стать опекунами или попечителями либо принять ребенка, оставшегося без попечения родителей, на воспитание в семью, оказание содействия в подготовке документов;</w:t>
      </w:r>
    </w:p>
    <w:p w14:paraId="5ECA62F4"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13) помощь опекунам и попечителям несовершеннолетних граждан в реализации и защите прав подопечных;</w:t>
      </w:r>
    </w:p>
    <w:p w14:paraId="154302AF"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14) выдача в установленном порядке согласия на перевод детей-сирот и детей, оставшихся без попечения родителей, из одной организации, осуществляющей образовательную деятельность, в другую организацию, осуществляющую образовательную деятельность, либо на изменение формы получения образования или формы обучения до получения ими основного общего образования, а также на отчисление таких лиц, достигших пятнадцати лет, до получения ими общего образования;</w:t>
      </w:r>
    </w:p>
    <w:p w14:paraId="46CAB776"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15) участие в пределах своей компетенции в проведении индивидуальной профилактической работы с несовершеннолетними, указанными в </w:t>
      </w:r>
      <w:r w:rsidRPr="002D237D">
        <w:rPr>
          <w:rFonts w:ascii="Microsoft Sans Serif" w:eastAsia="Times New Roman" w:hAnsi="Microsoft Sans Serif" w:cs="Microsoft Sans Serif"/>
          <w:color w:val="000000"/>
          <w:sz w:val="28"/>
          <w:szCs w:val="28"/>
          <w:u w:val="single"/>
          <w:lang w:eastAsia="ru-RU"/>
        </w:rPr>
        <w:t>статье 5</w:t>
      </w:r>
      <w:r w:rsidRPr="002D237D">
        <w:rPr>
          <w:rFonts w:ascii="Microsoft Sans Serif" w:eastAsia="Times New Roman" w:hAnsi="Microsoft Sans Serif" w:cs="Microsoft Sans Serif"/>
          <w:color w:val="000000"/>
          <w:sz w:val="28"/>
          <w:szCs w:val="28"/>
          <w:lang w:eastAsia="ru-RU"/>
        </w:rPr>
        <w:t xml:space="preserve"> Федерального закона от 24 июня 1999 года № 120-ФЗ «Об основах системы профилактики безнадзорности и правонарушений несовершеннолетних», если они являются сиротами либо остались без попечения родителей или иных законных представителей, а также осуществление мер по защите личных и имущественных прав несовершеннолетних, нуждающихся в помощи государства.</w:t>
      </w:r>
    </w:p>
    <w:p w14:paraId="69ECF312"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В сфере государственного управления:</w:t>
      </w:r>
    </w:p>
    <w:p w14:paraId="4235E523"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1) организация и обеспечение деятельности Управления как исполнительного органа государственной власти Свердловской области в соответствии с законодательством Российской Федерации и Свердловской области;</w:t>
      </w:r>
    </w:p>
    <w:p w14:paraId="28A44343"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lastRenderedPageBreak/>
        <w:t>2) полномочия получателя бюджетных средств в соответствии с бюджетным законодательством Российской Федерации;</w:t>
      </w:r>
    </w:p>
    <w:p w14:paraId="40B5291F"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2-1) полномочия по противодействию терроризму.</w:t>
      </w:r>
    </w:p>
    <w:p w14:paraId="00F7648E"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В соответствии с приказом Министерства социальной политики Свердловской области от 07.09.2017 № 453 «Об осуществлении Министерством социальной политики Свердловской области полномочий главного администратора доходов бюджетов бюджетной системы Российской Федерации» Управления наделены полномочиями по администрированию доходов в части начисления.</w:t>
      </w:r>
    </w:p>
    <w:p w14:paraId="2DD94A58"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Финансирование расходов на содержание и обеспечение деятельности Управления осуществляется на основании бюджетной сметы в пределах средств на содержание Управления, утверждаемой на их содержание Министерством социальной политики Свердловской области.</w:t>
      </w:r>
    </w:p>
    <w:p w14:paraId="0405D2A3"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Управление отвечает по своим обязательствам находящимися в его распоряжении денежными средствами.</w:t>
      </w:r>
    </w:p>
    <w:p w14:paraId="6E6E6CD3"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Управления имеют следующие открытые счета в Министерстве финансов Свердловской области:</w:t>
      </w:r>
    </w:p>
    <w:p w14:paraId="1D51C64A"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1) Лицевой счет № </w:t>
      </w:r>
      <w:r w:rsidRPr="002D237D">
        <w:rPr>
          <w:rFonts w:ascii="Microsoft Sans Serif" w:eastAsia="Times New Roman" w:hAnsi="Microsoft Sans Serif" w:cs="Microsoft Sans Serif"/>
          <w:b/>
          <w:bCs/>
          <w:color w:val="000000"/>
          <w:sz w:val="28"/>
          <w:szCs w:val="28"/>
          <w:lang w:eastAsia="ru-RU"/>
        </w:rPr>
        <w:t>03015500930</w:t>
      </w:r>
      <w:r w:rsidRPr="002D237D">
        <w:rPr>
          <w:rFonts w:ascii="Microsoft Sans Serif" w:eastAsia="Times New Roman" w:hAnsi="Microsoft Sans Serif" w:cs="Microsoft Sans Serif"/>
          <w:color w:val="000000"/>
          <w:sz w:val="28"/>
          <w:szCs w:val="28"/>
          <w:lang w:eastAsia="ru-RU"/>
        </w:rPr>
        <w:t xml:space="preserve"> в УФК по Свердловской области (Министерство финансов СО, Управление социальной политики по Талицкому району) для осуществления кассовых расходов на выплату социальных пособий, компенсаций по законам социальной направленности, на осуществление государственных функций за счет средств областного бюджета; </w:t>
      </w:r>
    </w:p>
    <w:p w14:paraId="6530C8D7"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2) Лицевой счет № </w:t>
      </w:r>
      <w:r w:rsidRPr="002D237D">
        <w:rPr>
          <w:rFonts w:ascii="Microsoft Sans Serif" w:eastAsia="Times New Roman" w:hAnsi="Microsoft Sans Serif" w:cs="Microsoft Sans Serif"/>
          <w:b/>
          <w:bCs/>
          <w:color w:val="000000"/>
          <w:sz w:val="28"/>
          <w:szCs w:val="28"/>
          <w:lang w:eastAsia="ru-RU"/>
        </w:rPr>
        <w:t>05015500930</w:t>
      </w:r>
      <w:r w:rsidRPr="002D237D">
        <w:rPr>
          <w:rFonts w:ascii="Microsoft Sans Serif" w:eastAsia="Times New Roman" w:hAnsi="Microsoft Sans Serif" w:cs="Microsoft Sans Serif"/>
          <w:color w:val="000000"/>
          <w:sz w:val="28"/>
          <w:szCs w:val="28"/>
          <w:lang w:eastAsia="ru-RU"/>
        </w:rPr>
        <w:t xml:space="preserve"> в УФК по Свердловской области (Министерство финансов СО, Управление социальной политики по Талицкому району) для учета операций со средствами, поступающими во временное распоряжение.</w:t>
      </w:r>
    </w:p>
    <w:p w14:paraId="1B95D6A5"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Структура Управления:</w:t>
      </w:r>
    </w:p>
    <w:p w14:paraId="5E58390D"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1) государственные гражданскик служащие:</w:t>
      </w:r>
    </w:p>
    <w:p w14:paraId="7991A201"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начальник Управления (1ед);</w:t>
      </w:r>
    </w:p>
    <w:p w14:paraId="6300EAFC"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заместитель начальника Управления (1ед.);</w:t>
      </w:r>
    </w:p>
    <w:p w14:paraId="3543B1AB"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отдел бухгалтерского учета и отчетности, правового и информационного обеспечения (5ед.);</w:t>
      </w:r>
    </w:p>
    <w:p w14:paraId="0103CB16"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отдел обеспечения мер социальной поддержки (8ед.);</w:t>
      </w:r>
    </w:p>
    <w:p w14:paraId="0992B5EE"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отдел семейной политики, опеки и попечительства, социальных гарантий и организации социального обслуживания (8ед.);</w:t>
      </w:r>
    </w:p>
    <w:p w14:paraId="5C5A2202"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2) работники, замещающие должности, не являющиеся должностями государственной гражданской службы Свердловской области, в государственных органах(2ед.);</w:t>
      </w:r>
    </w:p>
    <w:p w14:paraId="08D79510"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3) работники, осуществляющие профессиональную деятельность по профессиям рабочих, в государственных органах (6ед.).</w:t>
      </w:r>
    </w:p>
    <w:p w14:paraId="517E3904"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lastRenderedPageBreak/>
        <w:t> Бухгалтерский учет ведется в «Отделе бухгалтерского учета и отчетности, правового и информационного обеспечения». Показатели отчетности сформированы исходя из нормативных правовых актов, регулирующих ведение бухгалтерского учета и составление отчетности.</w:t>
      </w:r>
    </w:p>
    <w:p w14:paraId="725E1CC0"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Информация о результатах исполнения бюджетной сметы размещается на официальном сайте Управления социальной политики по Талицкому району.</w:t>
      </w:r>
    </w:p>
    <w:p w14:paraId="1F81EAD6" w14:textId="77777777" w:rsidR="002D237D" w:rsidRPr="002D237D" w:rsidRDefault="002D237D" w:rsidP="002D237D">
      <w:pPr>
        <w:shd w:val="clear" w:color="auto" w:fill="FFFFFF"/>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b/>
          <w:bCs/>
          <w:i/>
          <w:iCs/>
          <w:color w:val="000000"/>
          <w:sz w:val="28"/>
          <w:szCs w:val="28"/>
          <w:lang w:eastAsia="ru-RU"/>
        </w:rPr>
        <w:t> </w:t>
      </w:r>
      <w:r w:rsidRPr="002D237D">
        <w:rPr>
          <w:rFonts w:ascii="Microsoft Sans Serif" w:eastAsia="Times New Roman" w:hAnsi="Microsoft Sans Serif" w:cs="Microsoft Sans Serif"/>
          <w:color w:val="000000"/>
          <w:sz w:val="28"/>
          <w:szCs w:val="28"/>
          <w:lang w:eastAsia="ru-RU"/>
        </w:rPr>
        <w:t xml:space="preserve">На основании принятым федеральным стандартом бухгалтерского учета для организаций государственного сектора "Концептуальные основы бухгалтерского учета и отчетности организаций государственного сектора", утвержденным приказом Минфина России от 31.12.2016 года N 256н, Приказ Минфина России от 31 декабря 2016 года № 260н “Об утверждении федерального стандарта бухгалтерского учета для организаций государственного сектора «Представление бухгалтерской (финансовой) отчетности», управлением с 01 января 2018 года начато применение федеральных стандартов. </w:t>
      </w:r>
    </w:p>
    <w:p w14:paraId="561ADB99" w14:textId="77777777" w:rsidR="002D237D" w:rsidRPr="002D237D" w:rsidRDefault="002D237D" w:rsidP="002D237D">
      <w:pPr>
        <w:shd w:val="clear" w:color="auto" w:fill="FFFFFF"/>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При применении стандарта "Концептуальные основы"  в учетную политику управления внесены основные понятия и определения. Стандарт раскрывает термины и понятия, которые применяются в других федеральных стандартах для госсектора, и содержит определения, которых нет в Инструкциях, устанавливающих порядок бухгалтерского, бюджетного учета в организациях госсектора.</w:t>
      </w:r>
    </w:p>
    <w:p w14:paraId="5F675DD6"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1. При применение данного стандарта в учетной политики управления четко определено понятия "Актив". </w:t>
      </w:r>
    </w:p>
    <w:p w14:paraId="1B87D21B"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2. Определен метод ведения учета, это метод начисления и двойная запись, а так же добавлен принцип равномерности признания доходов и расходов. В соответствии с этими принципами объекты учета признаются в том отчетном периоде, в котором имели место факты хозяйственной жизни, приведшие к возникновению и (или) изменению соответствующих активов, обязательств, доходов, расходов и иных объектов бухгалтерского учета вне зависимости от поступления или выбытия денежных средств (или их эквивалентов), связанных с осуществлением указанных операций.</w:t>
      </w:r>
    </w:p>
    <w:p w14:paraId="449416D9"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3. Дополнено случаи проведения инвентаризации.</w:t>
      </w:r>
    </w:p>
    <w:p w14:paraId="003D4FCA" w14:textId="77777777" w:rsidR="002D237D" w:rsidRPr="002D237D" w:rsidRDefault="002D237D" w:rsidP="002D237D">
      <w:pPr>
        <w:autoSpaceDE w:val="0"/>
        <w:autoSpaceDN w:val="0"/>
        <w:adjustRightInd w:val="0"/>
        <w:spacing w:after="0" w:line="240" w:lineRule="auto"/>
        <w:ind w:firstLine="68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Среди случаев проведения инвентаризации в "Концептуальных основах" не упомянута инвентаризация перед годовым отчетом, в учетной политики управления данный факт остается основным, это требование предусмотрено п. 9 Инструкции 33н и п. 7 Инструкции 191н.</w:t>
      </w:r>
    </w:p>
    <w:p w14:paraId="4B2A9A66"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 При формировании годовой отчетности за 2018 год, в обязательном порядке был применен федеральный стандарт «Представление бухгалтерской (финансовой) отчетности», стандарт применяется при составлении бюджетной отчетности, бухгалтерской (финансовой) </w:t>
      </w:r>
      <w:r w:rsidRPr="002D237D">
        <w:rPr>
          <w:rFonts w:ascii="Microsoft Sans Serif" w:eastAsia="Times New Roman" w:hAnsi="Microsoft Sans Serif" w:cs="Microsoft Sans Serif"/>
          <w:color w:val="000000"/>
          <w:sz w:val="28"/>
          <w:szCs w:val="28"/>
          <w:lang w:eastAsia="ru-RU"/>
        </w:rPr>
        <w:lastRenderedPageBreak/>
        <w:t>отчетности государственных (муниципальных) бюджетных и автономных учреждений начиная с отчетности 2018 года.</w:t>
      </w:r>
    </w:p>
    <w:p w14:paraId="3C7226BB"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При  применении данного стандарта в учетною политику управления были внесены изменения:</w:t>
      </w:r>
    </w:p>
    <w:p w14:paraId="02449679"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1. по определению, когда могут быть изменены показатели бухгалтерской (финансовой) отчетности, а именно только  в результате значительных изменений характера деятельности управления.</w:t>
      </w:r>
    </w:p>
    <w:p w14:paraId="1C4D5ED3"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2. При применении данного стандарта введена четкая классификация активов на краткосрочные и долгосрочные.</w:t>
      </w:r>
    </w:p>
    <w:p w14:paraId="5F3B8757"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При составлении  Баланса активы и обязательства подразделены на долгосрочные (внеоборотные) и краткосрочные (оборотные).</w:t>
      </w:r>
    </w:p>
    <w:p w14:paraId="09C3F86A"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Актив классифицируется как </w:t>
      </w:r>
      <w:r w:rsidRPr="002D237D">
        <w:rPr>
          <w:rFonts w:ascii="Microsoft Sans Serif" w:eastAsia="Times New Roman" w:hAnsi="Microsoft Sans Serif" w:cs="Microsoft Sans Serif"/>
          <w:color w:val="000000"/>
          <w:sz w:val="28"/>
          <w:szCs w:val="28"/>
          <w:u w:val="single"/>
          <w:lang w:eastAsia="ru-RU"/>
        </w:rPr>
        <w:t>краткосрочный</w:t>
      </w:r>
      <w:r w:rsidRPr="002D237D">
        <w:rPr>
          <w:rFonts w:ascii="Microsoft Sans Serif" w:eastAsia="Times New Roman" w:hAnsi="Microsoft Sans Serif" w:cs="Microsoft Sans Serif"/>
          <w:color w:val="000000"/>
          <w:sz w:val="28"/>
          <w:szCs w:val="28"/>
          <w:lang w:eastAsia="ru-RU"/>
        </w:rPr>
        <w:t>, если:</w:t>
      </w:r>
    </w:p>
    <w:p w14:paraId="3E1DABE3"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он предназначен для потребления, передачи (продажи) или обращения в иные активы в течение 12 месяцев после отчетной даты;</w:t>
      </w:r>
    </w:p>
    <w:p w14:paraId="1357F1D8"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Краткосрочные активы включают материальные запасы, дебиторскую задолженность и другие активы, которые могут быть потреблены, переданы (проданы) или обращены в денежные средства в течение 12 месяцев после отчетной даты, даже если их выбытие в течение этого периода и не предполагается. Краткосрочные активы включают также часть долгосрочных финансовых активов, подлежащих погашению в течение 12 месяцев после отчетной даты.</w:t>
      </w:r>
    </w:p>
    <w:p w14:paraId="2FE59ECC"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Все прочие активы, включая материальные, нематериальные и финансовые активы, классифицируются как долгосрочные.</w:t>
      </w:r>
    </w:p>
    <w:p w14:paraId="1709BBD9"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А так же дебиторскую и кредиторскую задолженность на краткосрочную и долгосрочную.</w:t>
      </w:r>
    </w:p>
    <w:p w14:paraId="6B782F19"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3. Введено новое понятие профессиональное суждение и правильность его оформления.</w:t>
      </w:r>
    </w:p>
    <w:p w14:paraId="7CB3C5EB"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w:t>
      </w:r>
    </w:p>
    <w:p w14:paraId="17BCC1AF" w14:textId="77777777" w:rsidR="002D237D" w:rsidRPr="002D237D" w:rsidRDefault="002D237D" w:rsidP="002D237D">
      <w:pPr>
        <w:autoSpaceDE w:val="0"/>
        <w:autoSpaceDN w:val="0"/>
        <w:adjustRightInd w:val="0"/>
        <w:spacing w:after="0" w:line="240" w:lineRule="auto"/>
        <w:ind w:firstLine="700"/>
        <w:jc w:val="center"/>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b/>
          <w:bCs/>
          <w:color w:val="000000"/>
          <w:sz w:val="28"/>
          <w:szCs w:val="28"/>
          <w:lang w:eastAsia="ru-RU"/>
        </w:rPr>
        <w:t>Раздел 2. «Результаты деятельности субъекта бюджетной отчетности»</w:t>
      </w:r>
    </w:p>
    <w:p w14:paraId="3F5F0D0C"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w:t>
      </w:r>
    </w:p>
    <w:p w14:paraId="3C846139"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В Управлении в целях эффективности использования бюджетных средств регулярно проводятся мероприятия по экономии финансовых, материально – технических и топливно-энергетических ресурсов. </w:t>
      </w:r>
    </w:p>
    <w:p w14:paraId="3D9295B5"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В Управлении установлены приборы учёта потребления холодной воды, электрической и тепловой энергии. Осуществляется регулирование подачи теплоносителя в системе теплоснабжения, установлены энергосберегающие лампы, производится отключение средств вычислительной и оргтехники в обеденное время. Данные меры позволили сэкономить бюджетные средства в сумме 0,00 руб.</w:t>
      </w:r>
    </w:p>
    <w:p w14:paraId="3B861DF7"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Введение нормативов расходования горюче–смазочных материалов, установление лимитов среднедневного, среднемесячного </w:t>
      </w:r>
      <w:r w:rsidRPr="002D237D">
        <w:rPr>
          <w:rFonts w:ascii="Microsoft Sans Serif" w:eastAsia="Times New Roman" w:hAnsi="Microsoft Sans Serif" w:cs="Microsoft Sans Serif"/>
          <w:color w:val="000000"/>
          <w:sz w:val="28"/>
          <w:szCs w:val="28"/>
          <w:lang w:eastAsia="ru-RU"/>
        </w:rPr>
        <w:lastRenderedPageBreak/>
        <w:t xml:space="preserve">пробега автомобилей, контроль по рациональному использованию канцелярских товаров привел к экономии бюджетных средств на сумму 0,00 руб. </w:t>
      </w:r>
    </w:p>
    <w:p w14:paraId="23386513"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Установление лимитов на пользование служебной связью, введение запретов на личные переговоры позволили получить экономию бюджетных средств на сумму 0,00 руб.</w:t>
      </w:r>
    </w:p>
    <w:p w14:paraId="458A434C"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В результате оптимизации поездок и согласованности действий между Управлением и учреждениями образовалась экономия бюджетных средств по транспортным расходам, которая составила 0,00 руб.</w:t>
      </w:r>
    </w:p>
    <w:p w14:paraId="644499B1"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Всего экономия бюджетных средств по состоянию на 01 января 2020 года составила 0,00 руб.</w:t>
      </w:r>
    </w:p>
    <w:p w14:paraId="36C90866"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shd w:val="clear" w:color="auto" w:fill="FFFFFF"/>
          <w:lang w:eastAsia="ru-RU"/>
        </w:rPr>
        <w:t>За отчетный период сотрудники Управления к дисциплинарной и материальной ответственности не привлекались.</w:t>
      </w:r>
    </w:p>
    <w:p w14:paraId="5953F683"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Договора заключаются согласно 44–ФЗ от 05.04.2013 года «О контрактной системе в сфере товаров, работ, услуг для обеспечения государственных и муниципальных нужд». Объем бюджетных закупок по состоянию на 01 января 2020 года составил 1 866 588,00. Экономия по закупкам по состоянию на 01   января 2020 года составила 0,00 руб.</w:t>
      </w:r>
    </w:p>
    <w:p w14:paraId="0524E80B"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Бюджетные расходы по состоянию на 01 января 2020 года составили </w:t>
      </w:r>
    </w:p>
    <w:p w14:paraId="73E6A969"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59 898 516,85 руб. </w:t>
      </w:r>
    </w:p>
    <w:p w14:paraId="72FE22EB"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Повышение квалификации является обязательным требованием для государственных служащих. Сотрудники управления регулярно направляются на курсы повышения квалификации по разным направлениям.</w:t>
      </w:r>
    </w:p>
    <w:p w14:paraId="1A8E824A"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По состоянию на 01 января 2020 года курсы повышения квалификации прошли 10 сотрудников управления.</w:t>
      </w:r>
    </w:p>
    <w:p w14:paraId="68292088"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Учеба сотрудников отдела бухгалтерского учета и отчетности проводится регулярно, а также самостоятельное образование по повышению уровня и объёма знаний через периодические печатные издания, компьютерную справочно-правовую систему «Гарант», глобальную сеть Интернет и т.п.</w:t>
      </w:r>
    </w:p>
    <w:p w14:paraId="0CD1DE78"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Министерством проводится методическая работа с главными бухгалтерами Управления по вопросам организации и ведения бюджетного учета. Регулярно проводятся методические дни и семинары для руководителей и главных бухгалтеров Управления. </w:t>
      </w:r>
    </w:p>
    <w:p w14:paraId="6A506BFF"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Численность, согласно штатному расписанию, составляет 31 единица.</w:t>
      </w:r>
    </w:p>
    <w:p w14:paraId="2A4BFDA4"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Фактическая численность составляет 31 человек (31 штатная единица). </w:t>
      </w:r>
    </w:p>
    <w:p w14:paraId="404E348D"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В Управлении по состоянию на 01 января 2020 года вакантных ставок нет.  </w:t>
      </w:r>
    </w:p>
    <w:p w14:paraId="1342D300"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lastRenderedPageBreak/>
        <w:t>За Управлением закреплено движимое и недвижимое имущество, являющееся государственной собственностью Свердловской области, на праве оперативного управления, в отношении которого Управление в пределах, установленных законодательством Российской Федерации и Свердловской области, осуществляет права владения, пользования и распоряжения.</w:t>
      </w:r>
    </w:p>
    <w:p w14:paraId="05A56F4F"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На балансе Управления по состоянию на 01 января 2020 года числится имущество с остаточной стоимостью 833635,08 руб. и материальных запасов на  642071,63 руб.</w:t>
      </w:r>
    </w:p>
    <w:p w14:paraId="36ABE80A"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Материальные запасы поступают своевременно на основании накладных в полной комплектации.</w:t>
      </w:r>
    </w:p>
    <w:p w14:paraId="7BF1A644"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В Управлении организовано целевое и эффективное использование основных фондов. Обеспечена их сохранность – ежегодно проводится инвентаризация. Своевременно проводится (по мере возможности) текущий ремонт, профилактическое и техническое обслуживание. Бережное отношение к вычислительной технике, мебели и прочему оборудованию позволило использовать основные средства на протяжении длительного периода. Увеличение срока службы основных средств является одним из показателей эффективности их использования.</w:t>
      </w:r>
    </w:p>
    <w:p w14:paraId="0084685B" w14:textId="77777777" w:rsidR="002D237D" w:rsidRPr="002D237D" w:rsidRDefault="002D237D" w:rsidP="002D237D">
      <w:pPr>
        <w:autoSpaceDE w:val="0"/>
        <w:autoSpaceDN w:val="0"/>
        <w:adjustRightInd w:val="0"/>
        <w:spacing w:after="0" w:line="240" w:lineRule="auto"/>
        <w:ind w:firstLine="700"/>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Рабочие места оснащены компьютерной техникой на 100%.</w:t>
      </w:r>
    </w:p>
    <w:p w14:paraId="72A42307"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Уровень соответствия величины, состава и технического уровня основных фондов составляет 90% от реальной потребности в них. Техническое состояние основных фондов удовлетворительное, у компьютерной техники фактический срок эксплуатации превышает срок полезного использования, определенный амортизационной группой. Требуется модернизация, ветхая мебель нуждается в замене. Непригодные к дальнейшей эксплуатации объекты основных средств списываются с баланса Управления в порядке, установленном законодательством.</w:t>
      </w:r>
    </w:p>
    <w:p w14:paraId="1DE0B7AF"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Неиспользуемое или неэффективно используемое имущество отсутствует. По состоянию на 01 января 2020 года на балансе Управлении числится автомобили марки ГАЗ 3110, остаточная стоимость которого составляет 0,00 руб., легковой автомобиль KIA RIO, остаточная стоимость составляет 625828,50руб.</w:t>
      </w:r>
    </w:p>
    <w:p w14:paraId="50F3886B"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По состоянию на 01 января 2020 года численность получателей пособий и компенсаций составила 23500 человек.</w:t>
      </w:r>
    </w:p>
    <w:p w14:paraId="29C55487"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На 01 января 2020 года обслужено 3331 клиента, оказано 2503 государственных услуги. </w:t>
      </w:r>
    </w:p>
    <w:p w14:paraId="124888DA"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По состоянию на 01 января 2020 года доля граждан, получивших меры социальной поддержки, в общей численности граждан, имеющих </w:t>
      </w:r>
      <w:r w:rsidRPr="002D237D">
        <w:rPr>
          <w:rFonts w:ascii="Microsoft Sans Serif" w:eastAsia="Times New Roman" w:hAnsi="Microsoft Sans Serif" w:cs="Microsoft Sans Serif"/>
          <w:color w:val="000000"/>
          <w:sz w:val="28"/>
          <w:szCs w:val="28"/>
          <w:lang w:eastAsia="ru-RU"/>
        </w:rPr>
        <w:lastRenderedPageBreak/>
        <w:t>право на соответствующие меры социальной поддержки и обратившихся в Управление составила 100 %.</w:t>
      </w:r>
    </w:p>
    <w:p w14:paraId="03B6C374"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Количество детей, находящихся в трудной жизненной ситуации, прошедших оздоровление составило 2 человек.</w:t>
      </w:r>
    </w:p>
    <w:p w14:paraId="1574EBB8"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Количество многодетных семей составило 1121.</w:t>
      </w:r>
    </w:p>
    <w:p w14:paraId="4183BC9F"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По состоянию на 01 января 2020 года доля детей–сирот и детей, оставшихся без попечения родителей, переданных на воспитание в семьи, в общей численности детей-сирот и детей, оставшихся без попечения родителей составила 96 %.</w:t>
      </w:r>
    </w:p>
    <w:p w14:paraId="75E8043D"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По состоянию на 01 января 2020 года количество обоснованных жалоб на действия (бездействие) Управления, поступивших в Министерство социальной политики Свердловской области – 0.</w:t>
      </w:r>
    </w:p>
    <w:p w14:paraId="60F78840"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Численность лиц, замещающих гражданские должности государственной гражданской службы Свердловской области Управления, направляемых на переподготовку и повышение квалификации составили 10 человек.</w:t>
      </w:r>
    </w:p>
    <w:p w14:paraId="1332F544"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Удельный вес граждан, ставших инвалидами вследствие увечья (ранения, травмы, контузии) или заболевания, полученных в период прохождения ими военной службы, и членов их семей, получивших оздоровление и отдых в течение года, от общего количества граждан, ставших инвалидами вследствие увечья (ранения, травмы, контузии) или заболевания, полученных в период прохождения ими военной службы, и членов их семей составил 0 %.</w:t>
      </w:r>
    </w:p>
    <w:p w14:paraId="24F7E867"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Доля специалистов, осуществляющих работу по вопросам реабилитации и социальной интеграции инвалидов, получивших дополнительное профессиональное образование с целью обеспечения соответствия современным квалификационным требованиям составила 0%.</w:t>
      </w:r>
    </w:p>
    <w:p w14:paraId="559B81D2"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Доля специалистов, осуществляющих работу с детьми и их семьями, получивших дополнительное профессиональное образование с целью обеспечения соответствия современным квалификационным требованиям составила 0%.</w:t>
      </w:r>
    </w:p>
    <w:p w14:paraId="49D03D4A"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Доля специалистов, осуществляющих работу в сфере опеки и попечительства, получивших дополнительное профессиональное образование с целью обеспечения соответствия современным квалификационным требованиям составила 0%.</w:t>
      </w:r>
    </w:p>
    <w:p w14:paraId="54CC1E37"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Количество государственных гражданских служащих Управления, в том числе специалистов, принимающих участие в предоставлении государственных услуг, получивших дополнительное профессиональное образование с целью обеспечения соответствия современным квалификационным требованиям составило 0 человек.</w:t>
      </w:r>
    </w:p>
    <w:p w14:paraId="35B0181F" w14:textId="77777777" w:rsidR="002D237D" w:rsidRPr="002D237D" w:rsidRDefault="002D237D" w:rsidP="002D237D">
      <w:pPr>
        <w:autoSpaceDE w:val="0"/>
        <w:autoSpaceDN w:val="0"/>
        <w:adjustRightInd w:val="0"/>
        <w:spacing w:after="0" w:line="240" w:lineRule="auto"/>
        <w:ind w:firstLine="62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Расходы по обеспечению деятельности Управления составили 17 342 230,01 руб.</w:t>
      </w:r>
    </w:p>
    <w:p w14:paraId="3F9A2591"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Доля ветеранов и инвалидов Великой Отечественной войны, детей защитников Отечества, погибших в годы Великой Отечественной войны, лиц, пострадавших от радиационного воздействия, бывших несовершеннолетних узников концлагерей, гетто, других мест принудительного содержания, созданных фашистами и их союзниками в период второй мировой войны, вовлеченных в проводимые мероприятия составила 10%.</w:t>
      </w:r>
    </w:p>
    <w:p w14:paraId="17A01062"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Охват инвалидов областными мероприятиями и мероприятиями, проводимыми на муниципальном уровне, а также за счет различных финансовых источников, по реабилитации составил 1%.</w:t>
      </w:r>
    </w:p>
    <w:p w14:paraId="72A137DF"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Доля специалистов, прошедших повышение квалификации по вопросам реабилитации и социальной интеграции инвалидов, среди специалистов, занятых в этой сфере в Свердловской области составила 0%.</w:t>
      </w:r>
    </w:p>
    <w:p w14:paraId="2DE94FA9"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Доля детей, оставшихся без попечения родителей, переданных на воспитание в семьи граждан (на усыновление (удочерение) и под опеку (попечительство), в том числе по договору о приемной семье) к общей численности детей-сирот и детей, оставшихся без попечения родителей составила 96%.</w:t>
      </w:r>
    </w:p>
    <w:p w14:paraId="6AA1E4BA"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Снижение числа семей, находящихся в социально опасном положении к 2010 году составило 43%.</w:t>
      </w:r>
    </w:p>
    <w:p w14:paraId="5FD0A7B5"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Приобретение специальных устройств, приспособлений, технических средств реабилитации в целях создания условий доступности для инвалидов - колясочников жилых помещений, входных групп в жилых домах по состоянию на 01 января 2020 года исполнение 100%. </w:t>
      </w:r>
    </w:p>
    <w:p w14:paraId="62BEB96C"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 Заключены договора на приобретение поручней и пандусов от 18.06.2019г. с ООО Производственная компания «Теплый Дом» на сумму 70780,00руб., и ООО МПК «Сибирские конструкции» на сумму 97000,00руб. </w:t>
      </w:r>
    </w:p>
    <w:p w14:paraId="49DC48F0"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Заключен государственный контракт от 24.05.2019 г. № 0162200016219000001 с ООО </w:t>
      </w:r>
      <w:r w:rsidRPr="002D237D">
        <w:rPr>
          <w:rFonts w:ascii="Times New Roman" w:eastAsia="Times New Roman" w:hAnsi="Times New Roman" w:cs="Times New Roman"/>
          <w:color w:val="000000"/>
          <w:lang w:eastAsia="ru-RU"/>
        </w:rPr>
        <w:t>"КАТЭРВИЛ»</w:t>
      </w:r>
      <w:r w:rsidRPr="002D237D">
        <w:rPr>
          <w:rFonts w:ascii="Microsoft Sans Serif" w:eastAsia="Times New Roman" w:hAnsi="Microsoft Sans Serif" w:cs="Microsoft Sans Serif"/>
          <w:color w:val="000000"/>
          <w:sz w:val="28"/>
          <w:szCs w:val="28"/>
          <w:lang w:eastAsia="ru-RU"/>
        </w:rPr>
        <w:t xml:space="preserve"> на приобретение кресло -коляски для инвалида с электроприводом на сумму 440000.00руб. </w:t>
      </w:r>
    </w:p>
    <w:p w14:paraId="22E6FDD3"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Денежные средства освоены в третьем квартале  2019г.</w:t>
      </w:r>
    </w:p>
    <w:p w14:paraId="12A44AF1"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Управлением проводится информирование граждан о своей деятельности в различных формах: консультации, приемы граждан, встречи, круглые столы, размещение информации в средствах массовой информации, в помещении Управления, в информационно-телекоммуникационной сети «Интернет».</w:t>
      </w:r>
    </w:p>
    <w:p w14:paraId="43DBB75F"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В соответствии с Федеральным законом от 09 февраля 2009 года № 8-ФЗ «Об обеспечении доступа к информации о деятельности государственных органов и органов местного самоуправления» Управление имеет официальный сайт </w:t>
      </w:r>
      <w:r w:rsidRPr="002D237D">
        <w:rPr>
          <w:rFonts w:ascii="Microsoft Sans Serif" w:eastAsia="Times New Roman" w:hAnsi="Microsoft Sans Serif" w:cs="Microsoft Sans Serif"/>
          <w:color w:val="0000FF"/>
          <w:sz w:val="28"/>
          <w:szCs w:val="28"/>
          <w:u w:val="single"/>
          <w:lang w:eastAsia="ru-RU"/>
        </w:rPr>
        <w:t>http://usp59.msp.midural.ru/</w:t>
      </w:r>
      <w:r w:rsidRPr="002D237D">
        <w:rPr>
          <w:rFonts w:ascii="Microsoft Sans Serif" w:eastAsia="Times New Roman" w:hAnsi="Microsoft Sans Serif" w:cs="Microsoft Sans Serif"/>
          <w:color w:val="000000"/>
          <w:sz w:val="28"/>
          <w:szCs w:val="28"/>
          <w:lang w:eastAsia="ru-RU"/>
        </w:rPr>
        <w:t xml:space="preserve"> в информационно-телекоммуникационной сети «Интернет», приказ Управления социальной политики по Талицкому району № 413 от 29.05.2018 года «О введении в эксплуатацию официального сайта Управления социальной политики по Талицкому району».</w:t>
      </w:r>
    </w:p>
    <w:p w14:paraId="5F169DB6"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На сайте размещена актуальная информация об Управлении и его деятельности, в т. ч. положение и регламент, устанавливающие полномочия, задачи и функции Управления, организационная структура Управления, сведения о руководителях и специалистах Управления, нормативные правовые акты, перечень оказываемых Управлением государственных услуг, в том числе в электронном виде и с участием МФЦ, информация о мерах социальной поддержки детей-сирот и детей, оставшихся без попечения родителей, и семей, принявших на воспитание детей, информация о предоставлении бесплатной юридической помощи, форма обращения граждан, порядок и время приема граждан, отчеты о деятельности Управления, информация о результатах проверок, проведенных в Управлении, сведения о противодействии коррупции, сведения о вакантных должностях государственной службы, имеющихся в Управлении и порядок поступления граждан на государственную службу, контактные данные Управления и другая информация. Регулярно размещается новостная информация, всего в отчетном периоде на сайте размещена по 23 информационному поводу. </w:t>
      </w:r>
    </w:p>
    <w:p w14:paraId="01AD4608"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В Управлении установлен информационный киоск. Оформлены информационные стенды:</w:t>
      </w:r>
    </w:p>
    <w:p w14:paraId="6F645E7F"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«В Вашей семье будет ребенок»; </w:t>
      </w:r>
    </w:p>
    <w:p w14:paraId="788A13D0"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«В нашем доме поселилось счастье».</w:t>
      </w:r>
    </w:p>
    <w:p w14:paraId="6427160F"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Также на стендах содержится информация о государственных услугах, оказываемых Управлением, мерах социальной поддержки для отдельных категории граждан, информацию для граждан с ограниченными возможностями здоровья, по защите прав и законных интересов недееспособных граждан, по мерам социальной поддержки детей-сирот и детей, оставшихся без попечения родителей, по защите имущественных и жилищных прав несовершеннолетних, по вопросам получения сертификата на областной материнский (семейный) капитал, реализации средств ОМСК, устройства детей, оставшихся без попечения родителей, в замещающие семьи, освещены изменения и дополнения, внесенные в законы социальной направленности в течение отчетного периода.</w:t>
      </w:r>
    </w:p>
    <w:p w14:paraId="4A863542"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Проводится большая информационно - разъяснительная работа с населением для активизации устройства детей-сирот и детей, оставшихся без попечения родителей, в семьи граждан, привлечения потенциальных кандидатов в замещающие родители:</w:t>
      </w:r>
    </w:p>
    <w:p w14:paraId="19B60FD4"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1) распространение среди населения информационных буклетов;</w:t>
      </w:r>
    </w:p>
    <w:p w14:paraId="7889EC3D"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2) информация о формах жизнеустройства детей сирот и детей, оставшихся без попечения родителей, размещена в социальных сетях «Одноклассники», «В контакте», выходит в эфире радио «Плюс FM Талица!». </w:t>
      </w:r>
    </w:p>
    <w:p w14:paraId="5E38D127" w14:textId="77777777" w:rsidR="002D237D" w:rsidRPr="002D237D" w:rsidRDefault="002D237D" w:rsidP="002D237D">
      <w:pPr>
        <w:autoSpaceDE w:val="0"/>
        <w:autoSpaceDN w:val="0"/>
        <w:adjustRightInd w:val="0"/>
        <w:spacing w:after="0" w:line="240" w:lineRule="auto"/>
        <w:ind w:firstLine="56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3)</w:t>
      </w:r>
      <w:r w:rsidRPr="002D237D">
        <w:rPr>
          <w:rFonts w:ascii="Calibri" w:eastAsia="Times New Roman" w:hAnsi="Calibri" w:cs="Calibri"/>
          <w:color w:val="E36C0A"/>
          <w:sz w:val="28"/>
          <w:szCs w:val="28"/>
          <w:lang w:eastAsia="ru-RU"/>
        </w:rPr>
        <w:t xml:space="preserve"> </w:t>
      </w:r>
      <w:r w:rsidRPr="002D237D">
        <w:rPr>
          <w:rFonts w:ascii="Times New Roman" w:eastAsia="Times New Roman" w:hAnsi="Times New Roman" w:cs="Times New Roman"/>
          <w:color w:val="000000"/>
          <w:sz w:val="28"/>
          <w:szCs w:val="28"/>
          <w:lang w:eastAsia="ru-RU"/>
        </w:rPr>
        <w:t>специалистами проводятся выездные встречи с жителями сельских территорий с целью привлечения кандидатов в опекуны и информирования о работе Школы приемного родителя, мерах социальной поддержки отдельных категорий граждан, так за 4 квартал 2019г. проведено 10 встреч.</w:t>
      </w:r>
    </w:p>
    <w:p w14:paraId="44BC9BB6" w14:textId="77777777" w:rsidR="002D237D" w:rsidRPr="002D237D" w:rsidRDefault="002D237D" w:rsidP="002D237D">
      <w:pPr>
        <w:autoSpaceDE w:val="0"/>
        <w:autoSpaceDN w:val="0"/>
        <w:adjustRightInd w:val="0"/>
        <w:spacing w:after="0" w:line="240" w:lineRule="auto"/>
        <w:ind w:firstLine="56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Управление является координатором в организации и проведении социально-значимых мероприятий, утвержденных Министерством социальной политики, которые реализуются по направлениям:</w:t>
      </w:r>
    </w:p>
    <w:p w14:paraId="12AE6718" w14:textId="77777777" w:rsidR="002D237D" w:rsidRPr="002D237D" w:rsidRDefault="002D237D" w:rsidP="002D237D">
      <w:pPr>
        <w:autoSpaceDE w:val="0"/>
        <w:autoSpaceDN w:val="0"/>
        <w:adjustRightInd w:val="0"/>
        <w:spacing w:after="0" w:line="240" w:lineRule="auto"/>
        <w:ind w:firstLine="56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–проведение ежегодных традиционных мероприятий, связанных со знаменательными датами;</w:t>
      </w:r>
    </w:p>
    <w:p w14:paraId="47B5AC41" w14:textId="77777777" w:rsidR="002D237D" w:rsidRPr="002D237D" w:rsidRDefault="002D237D" w:rsidP="002D237D">
      <w:pPr>
        <w:autoSpaceDE w:val="0"/>
        <w:autoSpaceDN w:val="0"/>
        <w:adjustRightInd w:val="0"/>
        <w:spacing w:after="0" w:line="240" w:lineRule="auto"/>
        <w:ind w:firstLine="56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–проведение мероприятий направленных на формирование общественного мнения в поддержку семейных ценностей, повышения роли материнства, отцовства, детства;</w:t>
      </w:r>
    </w:p>
    <w:p w14:paraId="1F9E1DB8" w14:textId="77777777" w:rsidR="002D237D" w:rsidRPr="002D237D" w:rsidRDefault="002D237D" w:rsidP="002D237D">
      <w:pPr>
        <w:autoSpaceDE w:val="0"/>
        <w:autoSpaceDN w:val="0"/>
        <w:adjustRightInd w:val="0"/>
        <w:spacing w:after="0" w:line="240" w:lineRule="auto"/>
        <w:ind w:firstLine="56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–проведение мероприятий, направленных на формирование толерантного отношения к инвалидам;</w:t>
      </w:r>
    </w:p>
    <w:p w14:paraId="0FE6E919" w14:textId="77777777" w:rsidR="002D237D" w:rsidRPr="002D237D" w:rsidRDefault="002D237D" w:rsidP="002D237D">
      <w:pPr>
        <w:autoSpaceDE w:val="0"/>
        <w:autoSpaceDN w:val="0"/>
        <w:adjustRightInd w:val="0"/>
        <w:spacing w:after="0" w:line="240" w:lineRule="auto"/>
        <w:ind w:firstLine="56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–проведение мероприятий, направленных на создание активного долголетия.</w:t>
      </w:r>
    </w:p>
    <w:p w14:paraId="288921F9" w14:textId="77777777" w:rsidR="002D237D" w:rsidRPr="002D237D" w:rsidRDefault="002D237D" w:rsidP="002D237D">
      <w:pPr>
        <w:autoSpaceDE w:val="0"/>
        <w:autoSpaceDN w:val="0"/>
        <w:adjustRightInd w:val="0"/>
        <w:spacing w:after="0" w:line="240" w:lineRule="auto"/>
        <w:ind w:firstLine="56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В целях повышения уровня информирования граждан, нуждающихся в социальной поддержке, повышения доступности социальных услуг, в отчетном периоде на территории Талицкого городского округа проведены социально-значимые мероприятия:</w:t>
      </w:r>
    </w:p>
    <w:p w14:paraId="2FE928A5" w14:textId="77777777" w:rsidR="002D237D" w:rsidRPr="002D237D" w:rsidRDefault="002D237D" w:rsidP="002D237D">
      <w:pPr>
        <w:numPr>
          <w:ilvl w:val="0"/>
          <w:numId w:val="1"/>
        </w:numPr>
        <w:autoSpaceDE w:val="0"/>
        <w:autoSpaceDN w:val="0"/>
        <w:adjustRightInd w:val="0"/>
        <w:spacing w:after="0" w:line="240" w:lineRule="auto"/>
        <w:jc w:val="both"/>
        <w:rPr>
          <w:rFonts w:ascii="Wingdings" w:eastAsia="Times New Roman" w:hAnsi="Wingdings" w:cs="Wingdings"/>
          <w:color w:val="000000"/>
          <w:sz w:val="28"/>
          <w:szCs w:val="28"/>
          <w:lang w:eastAsia="ru-RU"/>
        </w:rPr>
      </w:pPr>
      <w:r w:rsidRPr="002D237D">
        <w:rPr>
          <w:rFonts w:ascii="Microsoft Sans Serif" w:eastAsia="Times New Roman" w:hAnsi="Microsoft Sans Serif" w:cs="Microsoft Sans Serif"/>
          <w:color w:val="000000"/>
          <w:sz w:val="28"/>
          <w:szCs w:val="28"/>
          <w:lang w:eastAsia="ru-RU"/>
        </w:rPr>
        <w:t>торжественное мероприятие, посвященное Дню матери;</w:t>
      </w:r>
    </w:p>
    <w:p w14:paraId="1EC91DF5" w14:textId="77777777" w:rsidR="002D237D" w:rsidRPr="002D237D" w:rsidRDefault="002D237D" w:rsidP="002D237D">
      <w:pPr>
        <w:numPr>
          <w:ilvl w:val="0"/>
          <w:numId w:val="1"/>
        </w:numPr>
        <w:autoSpaceDE w:val="0"/>
        <w:autoSpaceDN w:val="0"/>
        <w:adjustRightInd w:val="0"/>
        <w:spacing w:after="0" w:line="240" w:lineRule="auto"/>
        <w:jc w:val="both"/>
        <w:rPr>
          <w:rFonts w:ascii="Wingdings" w:eastAsia="Times New Roman" w:hAnsi="Wingdings" w:cs="Wingdings"/>
          <w:color w:val="000000"/>
          <w:sz w:val="28"/>
          <w:szCs w:val="28"/>
          <w:lang w:eastAsia="ru-RU"/>
        </w:rPr>
      </w:pPr>
      <w:r w:rsidRPr="002D237D">
        <w:rPr>
          <w:rFonts w:ascii="Microsoft Sans Serif" w:eastAsia="Times New Roman" w:hAnsi="Microsoft Sans Serif" w:cs="Microsoft Sans Serif"/>
          <w:color w:val="000000"/>
          <w:sz w:val="28"/>
          <w:szCs w:val="28"/>
          <w:lang w:eastAsia="ru-RU"/>
        </w:rPr>
        <w:t>семинар для замещающих семей;</w:t>
      </w:r>
    </w:p>
    <w:p w14:paraId="248EF594" w14:textId="77777777" w:rsidR="002D237D" w:rsidRPr="002D237D" w:rsidRDefault="002D237D" w:rsidP="002D237D">
      <w:pPr>
        <w:numPr>
          <w:ilvl w:val="0"/>
          <w:numId w:val="1"/>
        </w:numPr>
        <w:autoSpaceDE w:val="0"/>
        <w:autoSpaceDN w:val="0"/>
        <w:adjustRightInd w:val="0"/>
        <w:spacing w:after="0" w:line="240" w:lineRule="auto"/>
        <w:jc w:val="both"/>
        <w:rPr>
          <w:rFonts w:ascii="Wingdings" w:eastAsia="Times New Roman" w:hAnsi="Wingdings" w:cs="Wingdings"/>
          <w:color w:val="000000"/>
          <w:sz w:val="28"/>
          <w:szCs w:val="28"/>
          <w:lang w:eastAsia="ru-RU"/>
        </w:rPr>
      </w:pPr>
      <w:r w:rsidRPr="002D237D">
        <w:rPr>
          <w:rFonts w:ascii="Microsoft Sans Serif" w:eastAsia="Times New Roman" w:hAnsi="Microsoft Sans Serif" w:cs="Microsoft Sans Serif"/>
          <w:color w:val="000000"/>
          <w:sz w:val="28"/>
          <w:szCs w:val="28"/>
          <w:lang w:eastAsia="ru-RU"/>
        </w:rPr>
        <w:t>Елка Главы для детей-сирот и детей, оставшихся без попечения родителей;</w:t>
      </w:r>
    </w:p>
    <w:p w14:paraId="1B7003BD" w14:textId="77777777" w:rsidR="002D237D" w:rsidRPr="002D237D" w:rsidRDefault="002D237D" w:rsidP="002D237D">
      <w:pPr>
        <w:numPr>
          <w:ilvl w:val="0"/>
          <w:numId w:val="1"/>
        </w:numPr>
        <w:autoSpaceDE w:val="0"/>
        <w:autoSpaceDN w:val="0"/>
        <w:adjustRightInd w:val="0"/>
        <w:spacing w:after="0" w:line="240" w:lineRule="auto"/>
        <w:jc w:val="both"/>
        <w:rPr>
          <w:rFonts w:ascii="Wingdings" w:eastAsia="Times New Roman" w:hAnsi="Wingdings" w:cs="Wingdings"/>
          <w:color w:val="000000"/>
          <w:sz w:val="28"/>
          <w:szCs w:val="28"/>
          <w:lang w:eastAsia="ru-RU"/>
        </w:rPr>
      </w:pPr>
      <w:r w:rsidRPr="002D237D">
        <w:rPr>
          <w:rFonts w:ascii="Microsoft Sans Serif" w:eastAsia="Times New Roman" w:hAnsi="Microsoft Sans Serif" w:cs="Microsoft Sans Serif"/>
          <w:color w:val="000000"/>
          <w:sz w:val="28"/>
          <w:szCs w:val="28"/>
          <w:lang w:eastAsia="ru-RU"/>
        </w:rPr>
        <w:t>специалистами управления принято активное участие в проведении акции «Единый день профилактики»,  Дне правовой помощи детям и Общероссийском дне приема граждан;</w:t>
      </w:r>
    </w:p>
    <w:p w14:paraId="334C1C63" w14:textId="77777777" w:rsidR="002D237D" w:rsidRPr="002D237D" w:rsidRDefault="002D237D" w:rsidP="002D237D">
      <w:pPr>
        <w:numPr>
          <w:ilvl w:val="0"/>
          <w:numId w:val="1"/>
        </w:numPr>
        <w:autoSpaceDE w:val="0"/>
        <w:autoSpaceDN w:val="0"/>
        <w:adjustRightInd w:val="0"/>
        <w:spacing w:after="0" w:line="240" w:lineRule="auto"/>
        <w:jc w:val="both"/>
        <w:rPr>
          <w:rFonts w:ascii="Wingdings" w:eastAsia="Times New Roman" w:hAnsi="Wingdings" w:cs="Wingdings"/>
          <w:color w:val="000000"/>
          <w:sz w:val="28"/>
          <w:szCs w:val="28"/>
          <w:lang w:eastAsia="ru-RU"/>
        </w:rPr>
      </w:pPr>
      <w:r w:rsidRPr="002D237D">
        <w:rPr>
          <w:rFonts w:ascii="Microsoft Sans Serif" w:eastAsia="Times New Roman" w:hAnsi="Microsoft Sans Serif" w:cs="Microsoft Sans Serif"/>
          <w:color w:val="000000"/>
          <w:sz w:val="28"/>
          <w:szCs w:val="28"/>
          <w:lang w:eastAsia="ru-RU"/>
        </w:rPr>
        <w:t>в октябре приняли участие в 14 мероприятиях, посвященных Дню пожилого человека;</w:t>
      </w:r>
    </w:p>
    <w:p w14:paraId="09E9DAAF" w14:textId="77777777" w:rsidR="002D237D" w:rsidRPr="002D237D" w:rsidRDefault="002D237D" w:rsidP="002D237D">
      <w:pPr>
        <w:numPr>
          <w:ilvl w:val="0"/>
          <w:numId w:val="1"/>
        </w:numPr>
        <w:autoSpaceDE w:val="0"/>
        <w:autoSpaceDN w:val="0"/>
        <w:adjustRightInd w:val="0"/>
        <w:spacing w:after="0" w:line="240" w:lineRule="auto"/>
        <w:jc w:val="both"/>
        <w:rPr>
          <w:rFonts w:ascii="Wingdings" w:eastAsia="Times New Roman" w:hAnsi="Wingdings" w:cs="Wingdings"/>
          <w:color w:val="000000"/>
          <w:sz w:val="28"/>
          <w:szCs w:val="28"/>
          <w:lang w:eastAsia="ru-RU"/>
        </w:rPr>
      </w:pPr>
      <w:r w:rsidRPr="002D237D">
        <w:rPr>
          <w:rFonts w:ascii="Microsoft Sans Serif" w:eastAsia="Times New Roman" w:hAnsi="Microsoft Sans Serif" w:cs="Microsoft Sans Serif"/>
          <w:color w:val="000000"/>
          <w:sz w:val="28"/>
          <w:szCs w:val="28"/>
          <w:lang w:eastAsia="ru-RU"/>
        </w:rPr>
        <w:t xml:space="preserve">30 октября -  в </w:t>
      </w:r>
      <w:r w:rsidRPr="002D237D">
        <w:rPr>
          <w:rFonts w:ascii="Microsoft Sans Serif" w:eastAsia="Times New Roman" w:hAnsi="Microsoft Sans Serif" w:cs="Microsoft Sans Serif"/>
          <w:color w:val="000000"/>
          <w:sz w:val="28"/>
          <w:szCs w:val="28"/>
          <w:shd w:val="clear" w:color="auto" w:fill="FFFFFF"/>
          <w:lang w:eastAsia="ru-RU"/>
        </w:rPr>
        <w:t>Дне памяти жертв политических репрессий</w:t>
      </w:r>
      <w:r w:rsidRPr="002D237D">
        <w:rPr>
          <w:rFonts w:ascii="Microsoft Sans Serif" w:eastAsia="Times New Roman" w:hAnsi="Microsoft Sans Serif" w:cs="Microsoft Sans Serif"/>
          <w:color w:val="000000"/>
          <w:sz w:val="28"/>
          <w:szCs w:val="28"/>
          <w:lang w:eastAsia="ru-RU"/>
        </w:rPr>
        <w:t>;</w:t>
      </w:r>
    </w:p>
    <w:p w14:paraId="6B772172" w14:textId="77777777" w:rsidR="002D237D" w:rsidRPr="002D237D" w:rsidRDefault="002D237D" w:rsidP="002D237D">
      <w:pPr>
        <w:numPr>
          <w:ilvl w:val="0"/>
          <w:numId w:val="1"/>
        </w:numPr>
        <w:autoSpaceDE w:val="0"/>
        <w:autoSpaceDN w:val="0"/>
        <w:adjustRightInd w:val="0"/>
        <w:spacing w:after="0" w:line="240" w:lineRule="auto"/>
        <w:jc w:val="both"/>
        <w:rPr>
          <w:rFonts w:ascii="Wingdings" w:eastAsia="Times New Roman" w:hAnsi="Wingdings" w:cs="Wingdings"/>
          <w:color w:val="000000"/>
          <w:sz w:val="28"/>
          <w:szCs w:val="28"/>
          <w:lang w:eastAsia="ru-RU"/>
        </w:rPr>
      </w:pPr>
      <w:r w:rsidRPr="002D237D">
        <w:rPr>
          <w:rFonts w:ascii="Microsoft Sans Serif" w:eastAsia="Times New Roman" w:hAnsi="Microsoft Sans Serif" w:cs="Microsoft Sans Serif"/>
          <w:color w:val="000000"/>
          <w:sz w:val="28"/>
          <w:szCs w:val="28"/>
          <w:lang w:eastAsia="ru-RU"/>
        </w:rPr>
        <w:t>в декабре 2019 года принято участие в мероприятия в рамках Дней Милосердия,  Декады инвалидов,  </w:t>
      </w:r>
      <w:r w:rsidRPr="002D237D">
        <w:rPr>
          <w:rFonts w:ascii="Microsoft Sans Serif" w:eastAsia="Times New Roman" w:hAnsi="Microsoft Sans Serif" w:cs="Microsoft Sans Serif"/>
          <w:color w:val="000000"/>
          <w:sz w:val="28"/>
          <w:szCs w:val="28"/>
          <w:shd w:val="clear" w:color="auto" w:fill="FFFFFF"/>
          <w:lang w:eastAsia="ru-RU"/>
        </w:rPr>
        <w:t xml:space="preserve">Всемирного дня борьбы со СПИДом, Дня ликвидатора последствий на ЧАЭС </w:t>
      </w:r>
      <w:r w:rsidRPr="002D237D">
        <w:rPr>
          <w:rFonts w:ascii="Microsoft Sans Serif" w:eastAsia="Times New Roman" w:hAnsi="Microsoft Sans Serif" w:cs="Microsoft Sans Serif"/>
          <w:color w:val="000000"/>
          <w:sz w:val="28"/>
          <w:szCs w:val="28"/>
          <w:lang w:eastAsia="ru-RU"/>
        </w:rPr>
        <w:t>и добровольческих акциях «10000 добрых дел в один день»;</w:t>
      </w:r>
    </w:p>
    <w:p w14:paraId="544B0341" w14:textId="77777777" w:rsidR="002D237D" w:rsidRPr="002D237D" w:rsidRDefault="002D237D" w:rsidP="002D237D">
      <w:pPr>
        <w:numPr>
          <w:ilvl w:val="0"/>
          <w:numId w:val="1"/>
        </w:numPr>
        <w:autoSpaceDE w:val="0"/>
        <w:autoSpaceDN w:val="0"/>
        <w:adjustRightInd w:val="0"/>
        <w:spacing w:after="0" w:line="240" w:lineRule="auto"/>
        <w:jc w:val="both"/>
        <w:rPr>
          <w:rFonts w:ascii="Wingdings" w:eastAsia="Times New Roman" w:hAnsi="Wingdings" w:cs="Wingdings"/>
          <w:color w:val="000000"/>
          <w:sz w:val="28"/>
          <w:szCs w:val="28"/>
          <w:lang w:eastAsia="ru-RU"/>
        </w:rPr>
      </w:pPr>
      <w:r w:rsidRPr="002D237D">
        <w:rPr>
          <w:rFonts w:ascii="Calibri" w:eastAsia="Times New Roman" w:hAnsi="Calibri" w:cs="Calibri"/>
          <w:color w:val="000000"/>
          <w:sz w:val="28"/>
          <w:szCs w:val="28"/>
          <w:lang w:eastAsia="ru-RU"/>
        </w:rPr>
        <w:t>Управление социальной политики по Талицкому району, сотрудники КЦСОН Талицкого района совместно с Администрацией Талицкого городского округа продолжили работу по вручению персональных поздравлений Президента РФ ветеранам, достигших 90-летия и старше;</w:t>
      </w:r>
    </w:p>
    <w:p w14:paraId="5CC8C3BB" w14:textId="77777777" w:rsidR="002D237D" w:rsidRPr="002D237D" w:rsidRDefault="002D237D" w:rsidP="002D237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 xml:space="preserve">в торжественной обстановке вручены: </w:t>
      </w:r>
    </w:p>
    <w:p w14:paraId="1D09C516" w14:textId="77777777" w:rsidR="002D237D" w:rsidRPr="002D237D" w:rsidRDefault="002D237D" w:rsidP="002D237D">
      <w:pPr>
        <w:numPr>
          <w:ilvl w:val="0"/>
          <w:numId w:val="2"/>
        </w:numPr>
        <w:autoSpaceDE w:val="0"/>
        <w:autoSpaceDN w:val="0"/>
        <w:adjustRightInd w:val="0"/>
        <w:spacing w:after="0" w:line="240" w:lineRule="auto"/>
        <w:jc w:val="both"/>
        <w:rPr>
          <w:rFonts w:ascii="Wingdings" w:eastAsia="Times New Roman" w:hAnsi="Wingdings" w:cs="Wingdings"/>
          <w:color w:val="000000"/>
          <w:sz w:val="28"/>
          <w:szCs w:val="28"/>
          <w:lang w:eastAsia="ru-RU"/>
        </w:rPr>
      </w:pPr>
      <w:r w:rsidRPr="002D237D">
        <w:rPr>
          <w:rFonts w:ascii="Calibri" w:eastAsia="Times New Roman" w:hAnsi="Calibri" w:cs="Calibri"/>
          <w:color w:val="000000"/>
          <w:sz w:val="28"/>
          <w:szCs w:val="28"/>
          <w:lang w:eastAsia="ru-RU"/>
        </w:rPr>
        <w:t xml:space="preserve">знаки отличия Свердловской области «Совет да любовь» - 8 семейным парам; «Материнская доблесть» - 3 матерям; </w:t>
      </w:r>
    </w:p>
    <w:p w14:paraId="1ADAA2E7" w14:textId="77777777" w:rsidR="002D237D" w:rsidRPr="002D237D" w:rsidRDefault="002D237D" w:rsidP="002D237D">
      <w:pPr>
        <w:numPr>
          <w:ilvl w:val="0"/>
          <w:numId w:val="2"/>
        </w:numPr>
        <w:autoSpaceDE w:val="0"/>
        <w:autoSpaceDN w:val="0"/>
        <w:adjustRightInd w:val="0"/>
        <w:spacing w:after="0" w:line="240" w:lineRule="auto"/>
        <w:jc w:val="both"/>
        <w:rPr>
          <w:rFonts w:ascii="Wingdings" w:eastAsia="Times New Roman" w:hAnsi="Wingdings" w:cs="Wingdings"/>
          <w:color w:val="000000"/>
          <w:sz w:val="28"/>
          <w:szCs w:val="28"/>
          <w:lang w:eastAsia="ru-RU"/>
        </w:rPr>
      </w:pPr>
      <w:r w:rsidRPr="002D237D">
        <w:rPr>
          <w:rFonts w:ascii="Calibri" w:eastAsia="Times New Roman" w:hAnsi="Calibri" w:cs="Calibri"/>
          <w:color w:val="000000"/>
          <w:sz w:val="28"/>
          <w:szCs w:val="28"/>
          <w:lang w:eastAsia="ru-RU"/>
        </w:rPr>
        <w:t>медаль «За любовь и верность» - 1 семейной паре;</w:t>
      </w:r>
    </w:p>
    <w:p w14:paraId="50A83D73" w14:textId="77777777" w:rsidR="002D237D" w:rsidRPr="002D237D" w:rsidRDefault="002D237D" w:rsidP="002D237D">
      <w:pPr>
        <w:autoSpaceDE w:val="0"/>
        <w:autoSpaceDN w:val="0"/>
        <w:adjustRightInd w:val="0"/>
        <w:spacing w:after="0" w:line="240" w:lineRule="auto"/>
        <w:ind w:firstLine="56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В постоянном режиме проводятся совместные рейды с субъектами профилактики правонарушений несовершеннолетних по месту жительства  социально неблагополучных семей с целью оказания им практической помощи. Проведено 6 рейдов  в семьи, находящиеся в социально опасном положении, состоящие  на учете  в Управлении  на предмет  обследований жилищно-бытовых условий семей. Специалистами Управления ведется разъяснительная работа с родителями несовершеннолетних детей о социальной значимости воспитания детей. С родителями несовершеннолетних проведены профилактические беседы на предмет надлежащего воспитания несовершеннолетних, консультационная работа по оформлению пособий, даны рекомендации о посещении психолога в ГАУ «СРЦН Талицкого района».</w:t>
      </w:r>
    </w:p>
    <w:p w14:paraId="614A5432" w14:textId="77777777" w:rsidR="002D237D" w:rsidRPr="002D237D" w:rsidRDefault="002D237D" w:rsidP="002D237D">
      <w:pPr>
        <w:autoSpaceDE w:val="0"/>
        <w:autoSpaceDN w:val="0"/>
        <w:adjustRightInd w:val="0"/>
        <w:spacing w:after="0" w:line="240" w:lineRule="auto"/>
        <w:ind w:firstLine="56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Все социальные акции, фестивали, конкурсы проводятся в тесном содружестве с общественными организациями. Управление активно взаимодействует с некоммерческим сектором:</w:t>
      </w:r>
    </w:p>
    <w:p w14:paraId="7B8CDFD2" w14:textId="77777777" w:rsidR="002D237D" w:rsidRPr="002D237D" w:rsidRDefault="002D237D" w:rsidP="002D237D">
      <w:pPr>
        <w:autoSpaceDE w:val="0"/>
        <w:autoSpaceDN w:val="0"/>
        <w:adjustRightInd w:val="0"/>
        <w:spacing w:after="0" w:line="240" w:lineRule="auto"/>
        <w:ind w:left="40" w:right="40" w:firstLine="56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Талицкая местная организация Свердловской областной организации инвалидов Общероссийской общественной организации инвалидов «Всероссийское ордена Трудового Красного Знамени общество слепых»;</w:t>
      </w:r>
    </w:p>
    <w:p w14:paraId="66737D70" w14:textId="77777777" w:rsidR="002D237D" w:rsidRPr="002D237D" w:rsidRDefault="002D237D" w:rsidP="002D237D">
      <w:pPr>
        <w:autoSpaceDE w:val="0"/>
        <w:autoSpaceDN w:val="0"/>
        <w:adjustRightInd w:val="0"/>
        <w:spacing w:after="0" w:line="240" w:lineRule="auto"/>
        <w:ind w:left="40" w:right="40" w:firstLine="56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Талицкая районная организация общероссийской общественной организации «Всероссийского общества инвалидов»;</w:t>
      </w:r>
    </w:p>
    <w:p w14:paraId="77A01F28" w14:textId="77777777" w:rsidR="002D237D" w:rsidRPr="002D237D" w:rsidRDefault="002D237D" w:rsidP="002D237D">
      <w:pPr>
        <w:autoSpaceDE w:val="0"/>
        <w:autoSpaceDN w:val="0"/>
        <w:adjustRightInd w:val="0"/>
        <w:spacing w:after="0" w:line="240" w:lineRule="auto"/>
        <w:ind w:left="40" w:right="40" w:firstLine="56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Местное отделение Свердловской областной общественной организации ветеранов войны, труда, боевых действий, государственной службы, пенсионеров Талицкого городского округа;</w:t>
      </w:r>
    </w:p>
    <w:p w14:paraId="54D829D5" w14:textId="77777777" w:rsidR="002D237D" w:rsidRPr="002D237D" w:rsidRDefault="002D237D" w:rsidP="002D237D">
      <w:pPr>
        <w:autoSpaceDE w:val="0"/>
        <w:autoSpaceDN w:val="0"/>
        <w:adjustRightInd w:val="0"/>
        <w:spacing w:after="0" w:line="240" w:lineRule="auto"/>
        <w:ind w:left="40" w:right="40" w:firstLine="56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Общественная организация «Талицкий городской совет ветеранов»;</w:t>
      </w:r>
    </w:p>
    <w:p w14:paraId="03C9A43A" w14:textId="77777777" w:rsidR="002D237D" w:rsidRPr="002D237D" w:rsidRDefault="002D237D" w:rsidP="002D237D">
      <w:pPr>
        <w:autoSpaceDE w:val="0"/>
        <w:autoSpaceDN w:val="0"/>
        <w:adjustRightInd w:val="0"/>
        <w:spacing w:after="0" w:line="240" w:lineRule="auto"/>
        <w:ind w:left="40" w:right="40" w:firstLine="56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Талицкий районный комитет Свердловской областной организации имени Героя Советского Союза Ю.В. Исламова «Российский  Союз ветеранов Афганистана»;</w:t>
      </w:r>
    </w:p>
    <w:p w14:paraId="69AE025C" w14:textId="77777777" w:rsidR="002D237D" w:rsidRPr="002D237D" w:rsidRDefault="002D237D" w:rsidP="002D237D">
      <w:pPr>
        <w:autoSpaceDE w:val="0"/>
        <w:autoSpaceDN w:val="0"/>
        <w:adjustRightInd w:val="0"/>
        <w:spacing w:after="0" w:line="240" w:lineRule="auto"/>
        <w:ind w:firstLine="56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Талицкая районная общественная организация «Чернобыль»;</w:t>
      </w:r>
    </w:p>
    <w:p w14:paraId="539D7397" w14:textId="77777777" w:rsidR="002D237D" w:rsidRPr="002D237D" w:rsidRDefault="002D237D" w:rsidP="002D237D">
      <w:pPr>
        <w:autoSpaceDE w:val="0"/>
        <w:autoSpaceDN w:val="0"/>
        <w:adjustRightInd w:val="0"/>
        <w:spacing w:after="0" w:line="240" w:lineRule="auto"/>
        <w:ind w:left="40" w:right="40" w:firstLine="56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Общественная районная организация «Память сердца».</w:t>
      </w:r>
    </w:p>
    <w:p w14:paraId="5A683E79" w14:textId="77777777" w:rsidR="002D237D" w:rsidRPr="002D237D" w:rsidRDefault="002D237D" w:rsidP="002D237D">
      <w:pPr>
        <w:autoSpaceDE w:val="0"/>
        <w:autoSpaceDN w:val="0"/>
        <w:adjustRightInd w:val="0"/>
        <w:spacing w:after="0" w:line="240" w:lineRule="auto"/>
        <w:ind w:firstLine="56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За 4 квартал 2019г. проведено 10 мероприятий. Основными формами работы с общественными организациями являются встречи, круглые столы, социальные акции.</w:t>
      </w:r>
    </w:p>
    <w:p w14:paraId="6C3180E5" w14:textId="77777777" w:rsidR="002D237D" w:rsidRPr="002D237D" w:rsidRDefault="002D237D" w:rsidP="002D237D">
      <w:pPr>
        <w:autoSpaceDE w:val="0"/>
        <w:autoSpaceDN w:val="0"/>
        <w:adjustRightInd w:val="0"/>
        <w:spacing w:after="0" w:line="240" w:lineRule="auto"/>
        <w:ind w:firstLine="56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Наиболее крупные и значимые мероприятия, проводимые совместно с НКО:</w:t>
      </w:r>
    </w:p>
    <w:p w14:paraId="422AC255" w14:textId="77777777" w:rsidR="002D237D" w:rsidRPr="002D237D" w:rsidRDefault="002D237D" w:rsidP="002D237D">
      <w:pPr>
        <w:autoSpaceDE w:val="0"/>
        <w:autoSpaceDN w:val="0"/>
        <w:adjustRightInd w:val="0"/>
        <w:spacing w:after="0" w:line="240" w:lineRule="auto"/>
        <w:ind w:right="4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 xml:space="preserve">         организация Управлением совместно с Администрацией Талицкого городского округа и районным Советом ветеранов поздравлений ветеранов с Днем пенсионера, </w:t>
      </w:r>
    </w:p>
    <w:p w14:paraId="7D6E1B81" w14:textId="77777777" w:rsidR="002D237D" w:rsidRPr="002D237D" w:rsidRDefault="002D237D" w:rsidP="002D237D">
      <w:pPr>
        <w:numPr>
          <w:ilvl w:val="0"/>
          <w:numId w:val="3"/>
        </w:numPr>
        <w:autoSpaceDE w:val="0"/>
        <w:autoSpaceDN w:val="0"/>
        <w:adjustRightInd w:val="0"/>
        <w:spacing w:after="0" w:line="240" w:lineRule="auto"/>
        <w:ind w:right="40"/>
        <w:jc w:val="both"/>
        <w:rPr>
          <w:rFonts w:ascii="Wingdings" w:eastAsia="Times New Roman" w:hAnsi="Wingdings" w:cs="Wingdings"/>
          <w:color w:val="000000"/>
          <w:sz w:val="28"/>
          <w:szCs w:val="28"/>
          <w:lang w:eastAsia="ru-RU"/>
        </w:rPr>
      </w:pPr>
      <w:r w:rsidRPr="002D237D">
        <w:rPr>
          <w:rFonts w:ascii="Calibri" w:eastAsia="Times New Roman" w:hAnsi="Calibri" w:cs="Calibri"/>
          <w:color w:val="000000"/>
          <w:sz w:val="28"/>
          <w:szCs w:val="28"/>
          <w:lang w:eastAsia="ru-RU"/>
        </w:rPr>
        <w:t>совместно с Администрацией Талицкого городского округа и районным Советом ветеранов приняли участие в мероприятиях, посвященных Дню пенсионера в Свердловской области;</w:t>
      </w:r>
    </w:p>
    <w:p w14:paraId="042221E6" w14:textId="77777777" w:rsidR="002D237D" w:rsidRPr="002D237D" w:rsidRDefault="002D237D" w:rsidP="002D237D">
      <w:pPr>
        <w:numPr>
          <w:ilvl w:val="0"/>
          <w:numId w:val="3"/>
        </w:numPr>
        <w:autoSpaceDE w:val="0"/>
        <w:autoSpaceDN w:val="0"/>
        <w:adjustRightInd w:val="0"/>
        <w:spacing w:after="0" w:line="240" w:lineRule="auto"/>
        <w:ind w:right="60"/>
        <w:jc w:val="both"/>
        <w:rPr>
          <w:rFonts w:ascii="Wingdings" w:eastAsia="Times New Roman" w:hAnsi="Wingdings" w:cs="Wingdings"/>
          <w:color w:val="000000"/>
          <w:sz w:val="28"/>
          <w:szCs w:val="28"/>
          <w:lang w:eastAsia="ru-RU"/>
        </w:rPr>
      </w:pPr>
      <w:r w:rsidRPr="002D237D">
        <w:rPr>
          <w:rFonts w:ascii="Microsoft Sans Serif" w:eastAsia="Times New Roman" w:hAnsi="Microsoft Sans Serif" w:cs="Microsoft Sans Serif"/>
          <w:color w:val="000000"/>
          <w:sz w:val="28"/>
          <w:szCs w:val="28"/>
          <w:lang w:eastAsia="ru-RU"/>
        </w:rPr>
        <w:t>совместно с районным  и городским Советом ветеранов, сотрудники Управления, провели  4  информационно – консультационных встречи с активами Общественной организации   ветеранов войны,  труда, боевых действий, государственной службы, пенсионеров  Талицкого городского округа,</w:t>
      </w:r>
    </w:p>
    <w:p w14:paraId="2C7B15C0" w14:textId="77777777" w:rsidR="002D237D" w:rsidRPr="002D237D" w:rsidRDefault="002D237D" w:rsidP="002D237D">
      <w:pPr>
        <w:numPr>
          <w:ilvl w:val="0"/>
          <w:numId w:val="3"/>
        </w:numPr>
        <w:autoSpaceDE w:val="0"/>
        <w:autoSpaceDN w:val="0"/>
        <w:adjustRightInd w:val="0"/>
        <w:spacing w:after="0" w:line="240" w:lineRule="auto"/>
        <w:ind w:right="60"/>
        <w:jc w:val="both"/>
        <w:rPr>
          <w:rFonts w:ascii="Wingdings" w:eastAsia="Times New Roman" w:hAnsi="Wingdings" w:cs="Wingdings"/>
          <w:color w:val="000000"/>
          <w:sz w:val="28"/>
          <w:szCs w:val="28"/>
          <w:lang w:eastAsia="ru-RU"/>
        </w:rPr>
      </w:pPr>
      <w:r w:rsidRPr="002D237D">
        <w:rPr>
          <w:rFonts w:ascii="Microsoft Sans Serif" w:eastAsia="Times New Roman" w:hAnsi="Microsoft Sans Serif" w:cs="Microsoft Sans Serif"/>
          <w:color w:val="000000"/>
          <w:sz w:val="28"/>
          <w:szCs w:val="28"/>
          <w:shd w:val="clear" w:color="auto" w:fill="FFFFFF"/>
          <w:lang w:eastAsia="ru-RU"/>
        </w:rPr>
        <w:t>участие в торжественном собрании</w:t>
      </w:r>
      <w:r w:rsidRPr="002D237D">
        <w:rPr>
          <w:rFonts w:ascii="Microsoft Sans Serif" w:eastAsia="Times New Roman" w:hAnsi="Microsoft Sans Serif" w:cs="Microsoft Sans Serif"/>
          <w:color w:val="000000"/>
          <w:sz w:val="28"/>
          <w:szCs w:val="28"/>
          <w:lang w:eastAsia="ru-RU"/>
        </w:rPr>
        <w:t xml:space="preserve"> Талицкой  районной общественной организации «Чернобыль»</w:t>
      </w:r>
      <w:r w:rsidRPr="002D237D">
        <w:rPr>
          <w:rFonts w:ascii="Microsoft Sans Serif" w:eastAsia="Times New Roman" w:hAnsi="Microsoft Sans Serif" w:cs="Microsoft Sans Serif"/>
          <w:color w:val="000000"/>
          <w:sz w:val="28"/>
          <w:szCs w:val="28"/>
          <w:shd w:val="clear" w:color="auto" w:fill="FFFFFF"/>
          <w:lang w:eastAsia="ru-RU"/>
        </w:rPr>
        <w:t>, посвященное Дню ликвидатора последствий на ЧАЭС</w:t>
      </w:r>
      <w:r w:rsidRPr="002D237D">
        <w:rPr>
          <w:rFonts w:ascii="Microsoft Sans Serif" w:eastAsia="Times New Roman" w:hAnsi="Microsoft Sans Serif" w:cs="Microsoft Sans Serif"/>
          <w:color w:val="000000"/>
          <w:sz w:val="28"/>
          <w:szCs w:val="28"/>
          <w:lang w:eastAsia="ru-RU"/>
        </w:rPr>
        <w:t>;</w:t>
      </w:r>
    </w:p>
    <w:p w14:paraId="08FE2C23" w14:textId="77777777" w:rsidR="002D237D" w:rsidRPr="002D237D" w:rsidRDefault="002D237D" w:rsidP="002D237D">
      <w:pPr>
        <w:numPr>
          <w:ilvl w:val="0"/>
          <w:numId w:val="3"/>
        </w:numPr>
        <w:autoSpaceDE w:val="0"/>
        <w:autoSpaceDN w:val="0"/>
        <w:adjustRightInd w:val="0"/>
        <w:spacing w:after="0" w:line="240" w:lineRule="auto"/>
        <w:ind w:right="60"/>
        <w:jc w:val="both"/>
        <w:rPr>
          <w:rFonts w:ascii="Wingdings" w:eastAsia="Times New Roman" w:hAnsi="Wingdings" w:cs="Wingdings"/>
          <w:color w:val="000000"/>
          <w:sz w:val="28"/>
          <w:szCs w:val="28"/>
          <w:lang w:eastAsia="ru-RU"/>
        </w:rPr>
      </w:pPr>
      <w:r w:rsidRPr="002D237D">
        <w:rPr>
          <w:rFonts w:ascii="Microsoft Sans Serif" w:eastAsia="Times New Roman" w:hAnsi="Microsoft Sans Serif" w:cs="Microsoft Sans Serif"/>
          <w:color w:val="000000"/>
          <w:sz w:val="28"/>
          <w:szCs w:val="28"/>
          <w:shd w:val="clear" w:color="auto" w:fill="FFFFFF"/>
          <w:lang w:eastAsia="ru-RU"/>
        </w:rPr>
        <w:t xml:space="preserve">участие в торжественных мероприятиях </w:t>
      </w:r>
      <w:r w:rsidRPr="002D237D">
        <w:rPr>
          <w:rFonts w:ascii="Microsoft Sans Serif" w:eastAsia="Times New Roman" w:hAnsi="Microsoft Sans Serif" w:cs="Microsoft Sans Serif"/>
          <w:color w:val="000000"/>
          <w:sz w:val="28"/>
          <w:szCs w:val="28"/>
          <w:lang w:eastAsia="ru-RU"/>
        </w:rPr>
        <w:t>Талицкой  местной организации Свердловской областной организации инвалидов Общероссийской общественной организации инвалидов «Всероссийское ордена Трудового Красного Знамени общество слепых» и Талицкой районной организации общероссийской общественной организации «Всероссийского общества инвалидов», посвященных Международному дню инвалидов;</w:t>
      </w:r>
    </w:p>
    <w:p w14:paraId="19EFF5D6" w14:textId="77777777" w:rsidR="002D237D" w:rsidRPr="002D237D" w:rsidRDefault="002D237D" w:rsidP="002D237D">
      <w:pPr>
        <w:numPr>
          <w:ilvl w:val="0"/>
          <w:numId w:val="3"/>
        </w:numPr>
        <w:autoSpaceDE w:val="0"/>
        <w:autoSpaceDN w:val="0"/>
        <w:adjustRightInd w:val="0"/>
        <w:spacing w:after="0" w:line="240" w:lineRule="auto"/>
        <w:ind w:right="60"/>
        <w:jc w:val="both"/>
        <w:rPr>
          <w:rFonts w:ascii="Wingdings" w:eastAsia="Times New Roman" w:hAnsi="Wingdings" w:cs="Wingdings"/>
          <w:color w:val="000000"/>
          <w:sz w:val="28"/>
          <w:szCs w:val="28"/>
          <w:lang w:eastAsia="ru-RU"/>
        </w:rPr>
      </w:pPr>
      <w:r w:rsidRPr="002D237D">
        <w:rPr>
          <w:rFonts w:ascii="Microsoft Sans Serif" w:eastAsia="Times New Roman" w:hAnsi="Microsoft Sans Serif" w:cs="Microsoft Sans Serif"/>
          <w:color w:val="000000"/>
          <w:sz w:val="28"/>
          <w:szCs w:val="28"/>
          <w:shd w:val="clear" w:color="auto" w:fill="FFFFFF"/>
          <w:lang w:eastAsia="ru-RU"/>
        </w:rPr>
        <w:t>проведение XX районной зимней спартакиады для людей с ограниченными возможностями здоровья;</w:t>
      </w:r>
    </w:p>
    <w:p w14:paraId="25B6D249" w14:textId="77777777" w:rsidR="002D237D" w:rsidRPr="002D237D" w:rsidRDefault="002D237D" w:rsidP="002D237D">
      <w:pPr>
        <w:numPr>
          <w:ilvl w:val="0"/>
          <w:numId w:val="3"/>
        </w:numPr>
        <w:autoSpaceDE w:val="0"/>
        <w:autoSpaceDN w:val="0"/>
        <w:adjustRightInd w:val="0"/>
        <w:spacing w:after="0" w:line="240" w:lineRule="auto"/>
        <w:jc w:val="both"/>
        <w:rPr>
          <w:rFonts w:ascii="Wingdings" w:eastAsia="Times New Roman" w:hAnsi="Wingdings" w:cs="Wingdings"/>
          <w:color w:val="000000"/>
          <w:sz w:val="28"/>
          <w:szCs w:val="28"/>
          <w:lang w:eastAsia="ru-RU"/>
        </w:rPr>
      </w:pPr>
      <w:r w:rsidRPr="002D237D">
        <w:rPr>
          <w:rFonts w:ascii="Calibri" w:eastAsia="Times New Roman" w:hAnsi="Calibri" w:cs="Calibri"/>
          <w:color w:val="000000"/>
          <w:sz w:val="28"/>
          <w:szCs w:val="28"/>
          <w:lang w:eastAsia="ru-RU"/>
        </w:rPr>
        <w:t>организация Управлением совместно с Администрацией Талицкого городского округа и районным Советом ветеранов поздравлений ветеранов с Днем защитника Отечества, вручения персональных поздравлений Президента РФ ветеранам, достигших 90-летия и старше, вручению знаки отличия Свердловской области «Совет да любовь»;</w:t>
      </w:r>
    </w:p>
    <w:p w14:paraId="71ADEF31" w14:textId="77777777" w:rsidR="002D237D" w:rsidRPr="002D237D" w:rsidRDefault="002D237D" w:rsidP="002D237D">
      <w:pPr>
        <w:numPr>
          <w:ilvl w:val="0"/>
          <w:numId w:val="4"/>
        </w:numPr>
        <w:autoSpaceDE w:val="0"/>
        <w:autoSpaceDN w:val="0"/>
        <w:adjustRightInd w:val="0"/>
        <w:spacing w:after="0" w:line="240" w:lineRule="auto"/>
        <w:ind w:left="720" w:right="40" w:hanging="360"/>
        <w:jc w:val="both"/>
        <w:rPr>
          <w:rFonts w:ascii="Wingdings" w:eastAsia="Times New Roman" w:hAnsi="Wingdings" w:cs="Wingdings"/>
          <w:color w:val="000000"/>
          <w:sz w:val="28"/>
          <w:szCs w:val="28"/>
          <w:lang w:eastAsia="ru-RU"/>
        </w:rPr>
      </w:pPr>
      <w:r w:rsidRPr="002D237D">
        <w:rPr>
          <w:rFonts w:ascii="Calibri" w:eastAsia="Times New Roman" w:hAnsi="Calibri" w:cs="Calibri"/>
          <w:color w:val="000000"/>
          <w:sz w:val="28"/>
          <w:szCs w:val="28"/>
          <w:lang w:eastAsia="ru-RU"/>
        </w:rPr>
        <w:t>совместно с районным  и городским Советом ветеранов, сотрудники Управления, провели  6 информационно – консультационных встречи с активами Общественной организации   ветеранов войны,  труда, боевых действий, государственной службы, пенсионеров  Талицкого городского округа.</w:t>
      </w:r>
    </w:p>
    <w:p w14:paraId="38BE1F3D" w14:textId="77777777" w:rsidR="002D237D" w:rsidRPr="002D237D" w:rsidRDefault="002D237D" w:rsidP="002D237D">
      <w:pPr>
        <w:autoSpaceDE w:val="0"/>
        <w:autoSpaceDN w:val="0"/>
        <w:adjustRightInd w:val="0"/>
        <w:spacing w:after="0" w:line="240" w:lineRule="auto"/>
        <w:ind w:firstLine="56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Управление работает во взаимодействии со средствами массовой информации: газетой «Сельская новь» и информационным холдингом «6 канал». В соответствии с планом мероприятий по проведению разъяснительной работы за отчетный период в местных СМИ опубликовано 5 публикаций, из них:</w:t>
      </w:r>
    </w:p>
    <w:p w14:paraId="70C14B7D" w14:textId="77777777" w:rsidR="002D237D" w:rsidRPr="002D237D" w:rsidRDefault="002D237D" w:rsidP="002D237D">
      <w:pPr>
        <w:autoSpaceDE w:val="0"/>
        <w:autoSpaceDN w:val="0"/>
        <w:adjustRightInd w:val="0"/>
        <w:spacing w:after="0" w:line="240" w:lineRule="auto"/>
        <w:ind w:firstLine="56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05.10.2019 г. газета «восточная провинция» № 27, «Мы молодежь 20 века, всегда и во всем добьёмся успеха»;</w:t>
      </w:r>
    </w:p>
    <w:p w14:paraId="4279DC91" w14:textId="77777777" w:rsidR="002D237D" w:rsidRPr="002D237D" w:rsidRDefault="002D237D" w:rsidP="002D237D">
      <w:pPr>
        <w:autoSpaceDE w:val="0"/>
        <w:autoSpaceDN w:val="0"/>
        <w:adjustRightInd w:val="0"/>
        <w:spacing w:after="0" w:line="240" w:lineRule="auto"/>
        <w:ind w:firstLine="56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19.10.2019 г. газета «Сельская новь» № 29, «Результат, к которому стремимся»;</w:t>
      </w:r>
    </w:p>
    <w:p w14:paraId="580F7EB7" w14:textId="77777777" w:rsidR="002D237D" w:rsidRPr="002D237D" w:rsidRDefault="002D237D" w:rsidP="002D237D">
      <w:pPr>
        <w:autoSpaceDE w:val="0"/>
        <w:autoSpaceDN w:val="0"/>
        <w:adjustRightInd w:val="0"/>
        <w:spacing w:after="0" w:line="240" w:lineRule="auto"/>
        <w:ind w:firstLine="56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26.11.2019 г. газета «Сельская новь» № 30, «Меры социальной поддержки семьям имеющих детей», «Счастливые семьи-счастливые дети»;</w:t>
      </w:r>
    </w:p>
    <w:p w14:paraId="657D1CBA" w14:textId="77777777" w:rsidR="002D237D" w:rsidRPr="002D237D" w:rsidRDefault="002D237D" w:rsidP="002D237D">
      <w:pPr>
        <w:autoSpaceDE w:val="0"/>
        <w:autoSpaceDN w:val="0"/>
        <w:adjustRightInd w:val="0"/>
        <w:spacing w:after="0" w:line="240" w:lineRule="auto"/>
        <w:ind w:firstLine="56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06.12.2019 г. газета «Сельская новь» № 34, «Дню пенсионера посвящается», «Выплаты за первенца»;</w:t>
      </w:r>
    </w:p>
    <w:p w14:paraId="0BC3FB24" w14:textId="77777777" w:rsidR="002D237D" w:rsidRPr="002D237D" w:rsidRDefault="002D237D" w:rsidP="002D237D">
      <w:pPr>
        <w:autoSpaceDE w:val="0"/>
        <w:autoSpaceDN w:val="0"/>
        <w:adjustRightInd w:val="0"/>
        <w:spacing w:after="0" w:line="240" w:lineRule="auto"/>
        <w:ind w:firstLine="56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20.12.2019 г. газета «Восточная провинция» № 38, «Оставайтесь душой молодыми»;</w:t>
      </w:r>
    </w:p>
    <w:p w14:paraId="7886594F" w14:textId="77777777" w:rsidR="002D237D" w:rsidRPr="002D237D" w:rsidRDefault="002D237D" w:rsidP="002D237D">
      <w:pPr>
        <w:autoSpaceDE w:val="0"/>
        <w:autoSpaceDN w:val="0"/>
        <w:adjustRightInd w:val="0"/>
        <w:spacing w:after="0" w:line="240" w:lineRule="auto"/>
        <w:ind w:firstLine="56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В течение отчетного периода разработаны и распространены среди населения памятки  и буклеты (98 шт.) по вопросам предоставления мер социальной поддержки различным льготным категориям граждан, о мерах социальной поддержки детей-сирот и детей, оставшихся без попечения родителей, и семей, принявших на воспитание детей и т.д., социальная реклама поддержки детей-сирот и детей, оставшихся без попечения родителей.</w:t>
      </w:r>
    </w:p>
    <w:p w14:paraId="551D259B" w14:textId="77777777" w:rsidR="002D237D" w:rsidRPr="002D237D" w:rsidRDefault="002D237D" w:rsidP="002D237D">
      <w:pPr>
        <w:autoSpaceDE w:val="0"/>
        <w:autoSpaceDN w:val="0"/>
        <w:adjustRightInd w:val="0"/>
        <w:spacing w:after="0" w:line="240" w:lineRule="auto"/>
        <w:ind w:firstLine="700"/>
        <w:jc w:val="center"/>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b/>
          <w:bCs/>
          <w:color w:val="000000"/>
          <w:sz w:val="28"/>
          <w:szCs w:val="28"/>
          <w:lang w:eastAsia="ru-RU"/>
        </w:rPr>
        <w:t> </w:t>
      </w:r>
    </w:p>
    <w:p w14:paraId="5A389987" w14:textId="77777777" w:rsidR="002D237D" w:rsidRPr="002D237D" w:rsidRDefault="002D237D" w:rsidP="002D237D">
      <w:pPr>
        <w:autoSpaceDE w:val="0"/>
        <w:autoSpaceDN w:val="0"/>
        <w:adjustRightInd w:val="0"/>
        <w:spacing w:after="0" w:line="240" w:lineRule="auto"/>
        <w:ind w:firstLine="700"/>
        <w:jc w:val="center"/>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b/>
          <w:bCs/>
          <w:color w:val="000000"/>
          <w:sz w:val="28"/>
          <w:szCs w:val="28"/>
          <w:lang w:eastAsia="ru-RU"/>
        </w:rPr>
        <w:t>Раздел 3. «Анализ отчета об исполнении бюджета субъектом бюджетной отчетности»</w:t>
      </w:r>
    </w:p>
    <w:p w14:paraId="4866B14D"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Всего на 2019, 2020, 2021,2022 годы утверждено бюджетных ассигнований </w:t>
      </w:r>
    </w:p>
    <w:p w14:paraId="26ACA7F9"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301 429 340,70руб., утверждено лимитов бюджетных обязательств</w:t>
      </w:r>
    </w:p>
    <w:p w14:paraId="48B4BC7F"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245 303 340,70 руб.</w:t>
      </w:r>
    </w:p>
    <w:p w14:paraId="58B02116"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Финансовое обеспечение деятельности Управления осуществляется за счет средств Свердловской области и на основании бюджетной сметы, составленной в соответствии с приказом Министерства социальной политики Свердловской области от 25.02.2019 № 49 «Об утверждении Порядка составления, утверждения и ведения бюджетной сметы Министерства социальной политики Свердловской области, бюджетных смет территориальных отраслевых исполнительных органов государственной власти Свердловской области- управлений социальной политики Министерства социальной политики Свердловской области».</w:t>
      </w:r>
    </w:p>
    <w:p w14:paraId="77F237BC"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Предусмотрено бюджетной сметой на 2019 год 17 362 622 руб., исполнено 17 342 230,01 руб., что составляет 99%.</w:t>
      </w:r>
    </w:p>
    <w:p w14:paraId="225112F9"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Расходование бюджетных средств производится своевременно и по целевому назначению.</w:t>
      </w:r>
    </w:p>
    <w:p w14:paraId="1B518EAF"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Предпринимательскую деятельность управление не осуществляет, доходов не имеет.</w:t>
      </w:r>
    </w:p>
    <w:p w14:paraId="22DB9A34"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В 2019 году Управлению в соответствии с постановлением Правительства Свердловской области от 05.07.2017 года № 480-ПП «Об утверждении государственной программы Свердловской области «Социальная поддержка и социальное обслуживание населения Свердловской области до 2024 года» утверждено: 60 851 381,70руб., исполнено: 59 898 516,85руб., процент исполнения составил 98,43%. </w:t>
      </w:r>
    </w:p>
    <w:p w14:paraId="5DB7936E"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Причины отклонений по целевым статьям, по которым исполнение составило менее 95 % от утвержденных годовых назначений:</w:t>
      </w:r>
    </w:p>
    <w:p w14:paraId="669FDB4B"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015–1003-1532217204 – исполнение 84,84%</w:t>
      </w:r>
      <w:r w:rsidRPr="002D237D">
        <w:rPr>
          <w:rFonts w:ascii="Calibri" w:eastAsia="Times New Roman" w:hAnsi="Calibri" w:cs="Calibri"/>
          <w:color w:val="000000"/>
          <w:sz w:val="28"/>
          <w:szCs w:val="28"/>
          <w:shd w:val="clear" w:color="auto" w:fill="FFFFFF"/>
          <w:lang w:eastAsia="ru-RU"/>
        </w:rPr>
        <w:t>, (заявительный характер выделения средств).</w:t>
      </w:r>
    </w:p>
    <w:p w14:paraId="1DACC183"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В 2019 году Управлению в соответствии с постановлением Правительства Свердловской области от 22.01.2014 № 23-ПП «Об утверждении комплексной программы Свердловской области «Доступная среда» на 2014 - 2020 годы» денежные средства выделены в сумме 607780,00руб., на приобретение кресло-коляска для инвалидов с электроприводом в сумме 440000,00 руб., на приобретение пандусов в сумме 167780,00 руб. </w:t>
      </w:r>
    </w:p>
    <w:p w14:paraId="07887C56"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В 2019 году Управлению в соответствии с постановлением Правительства Свердловской области от 12.03.2014 № 167-ПП «Об утверждении комплексной программы Свердловской области «Старшее поколение» на 2014 - 2018 годы» средства не выделялись.</w:t>
      </w:r>
    </w:p>
    <w:p w14:paraId="1A169622"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Принятие бюджетных обязательств (денежных обязательств) осуществляется строго в пределах утвержденных бюджетных ассигнований (лимитов).</w:t>
      </w:r>
    </w:p>
    <w:p w14:paraId="6F8A543D"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Приняты бюджетные обязательства в 2019 году на сумму 59 898 516,85 руб.</w:t>
      </w:r>
    </w:p>
    <w:p w14:paraId="28CEA9B7"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Приняты денежные обязательства в 2019 году на сумму 59 898 516,85  руб.</w:t>
      </w:r>
    </w:p>
    <w:p w14:paraId="1B518735"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Заключены обязательства конкурентным способом на сумму 440 000,00 руб.</w:t>
      </w:r>
    </w:p>
    <w:p w14:paraId="21BCB8CC"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По состоянию на 01 января 2020 года принятые денежные обязательства исполнены в полном объеме.</w:t>
      </w:r>
    </w:p>
    <w:p w14:paraId="600A3AF5"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По состоянию на 01 января 2020 года заключены договоры, предусмотренные к исполнению в 2019 году на сумму 1 622 937,30руб.</w:t>
      </w:r>
    </w:p>
    <w:p w14:paraId="0384A279"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По состоянию на 01 января 2020 года на счете для учета операций со средствами, поступающими во временное распоряжение остатка нет.</w:t>
      </w:r>
    </w:p>
    <w:p w14:paraId="1259AACA" w14:textId="77777777" w:rsidR="002D237D" w:rsidRPr="002D237D" w:rsidRDefault="002D237D" w:rsidP="002D237D">
      <w:pPr>
        <w:autoSpaceDE w:val="0"/>
        <w:autoSpaceDN w:val="0"/>
        <w:adjustRightInd w:val="0"/>
        <w:spacing w:after="0" w:line="240" w:lineRule="auto"/>
        <w:ind w:firstLine="700"/>
        <w:jc w:val="center"/>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b/>
          <w:bCs/>
          <w:color w:val="000000"/>
          <w:sz w:val="28"/>
          <w:szCs w:val="28"/>
          <w:lang w:eastAsia="ru-RU"/>
        </w:rPr>
        <w:t> </w:t>
      </w:r>
    </w:p>
    <w:p w14:paraId="14F9CF04" w14:textId="77777777" w:rsidR="002D237D" w:rsidRPr="002D237D" w:rsidRDefault="002D237D" w:rsidP="002D237D">
      <w:pPr>
        <w:autoSpaceDE w:val="0"/>
        <w:autoSpaceDN w:val="0"/>
        <w:adjustRightInd w:val="0"/>
        <w:spacing w:after="0" w:line="240" w:lineRule="auto"/>
        <w:ind w:firstLine="700"/>
        <w:jc w:val="center"/>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b/>
          <w:bCs/>
          <w:color w:val="000000"/>
          <w:sz w:val="28"/>
          <w:szCs w:val="28"/>
          <w:lang w:eastAsia="ru-RU"/>
        </w:rPr>
        <w:t>Раздел 4. «Анализ показателей бухгалтерской отчетности субъекта бюджетной отчетности»</w:t>
      </w:r>
    </w:p>
    <w:p w14:paraId="4E8798CE"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За отчетный период поступило основных средств на сумму 24 635,00руб., Выбыло основных средств на сумму 0,00 руб. начислена амортизация в сумме 251 198руб.</w:t>
      </w:r>
    </w:p>
    <w:p w14:paraId="42FDF432"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За отчетный период оприходовано материальных запасов на сумму           961019,92 руб., из них поступило по внутриведомственным расчетам от Министерства социальной политики Свердловской области знаков отличия, удостоверений к знакам отличия на сумму 14108,92 руб., от государственного казенного учреждения Свердловской области "Областной информационно-расчетный центр" на сумму 91499,28 руб. (бумага, картридж). Выбыло материальных запасов на сумму 343141,80 руб., из них списано на нужды Управления на сумму 343141,80 руб.</w:t>
      </w:r>
    </w:p>
    <w:p w14:paraId="238E0871"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На 01 января 2020 года остаточная стоимость основных средств составила 833635,08 руб., в том числе стоимость недвижимого имущества составила       207 806,58 руб, остаточная стоимость материальных запасов составила 641998,77 рублей.</w:t>
      </w:r>
    </w:p>
    <w:p w14:paraId="1AE6AE92"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По состоянию на 01 января 2020 года на забалансовых счетах Управления числится:</w:t>
      </w:r>
    </w:p>
    <w:p w14:paraId="1EC3D083"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счет 03 «Бланки строгой отчетности» на сумму 755,00руб. (удостоверения, сертификаты);</w:t>
      </w:r>
    </w:p>
    <w:p w14:paraId="5922F147"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счет 09 «Запасные части к транспортным средствам, выданные взамен изношенных» на сумму 16140,00 руб.(колеса, аккумулятор, домкрат, диски колесные);</w:t>
      </w:r>
    </w:p>
    <w:p w14:paraId="2C8F19C5"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счет 21 «Основные средства в эксплуатации» на сумму 197923,44руб. из них:</w:t>
      </w:r>
    </w:p>
    <w:p w14:paraId="08DC6067"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21.34 «Машины и оборудование» на сумму 39146,80 руб. (клавиатура, мышь, колонки, телефоны и т.д);</w:t>
      </w:r>
    </w:p>
    <w:p w14:paraId="096B0DFD"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21.36 «Производственный и хозяйственный инвентарь» на сумму 158776,64 руб. (светильники, кресла, тумбы, столы, чайники, шкафы).</w:t>
      </w:r>
    </w:p>
    <w:p w14:paraId="6B0449B9"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счет 26 «Имущество, переданное в безвозмездное пользование»  на сумму 607780,00 руб.</w:t>
      </w:r>
    </w:p>
    <w:p w14:paraId="1E8D1B7F"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На счете 201.35 «Денежные документы» числится остаток в сумме 6012,00 руб.</w:t>
      </w:r>
    </w:p>
    <w:p w14:paraId="26649029"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Дебиторская задолженность по состоянию на 01 января 2020 года составляет 0,00 руб. </w:t>
      </w:r>
    </w:p>
    <w:p w14:paraId="7AFB3122"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Задолженность по счету 206 «Расчеты по выданным авансам» составляет 0,00 руб. </w:t>
      </w:r>
    </w:p>
    <w:p w14:paraId="1198E70E"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Задолженность по счету 208 «Расчеты с подотчетными лицами» составляет 0,00 руб. </w:t>
      </w:r>
    </w:p>
    <w:p w14:paraId="31E4C7BF"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Задолженность по счету 303 «Расчеты по платежам в бюджет» составляет 0,00 руб.</w:t>
      </w:r>
    </w:p>
    <w:p w14:paraId="30CFC50D"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lang w:eastAsia="ru-RU"/>
        </w:rPr>
        <w:t> </w:t>
      </w:r>
    </w:p>
    <w:p w14:paraId="2DC75552"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Просроченная и долгосрочная дебиторская задолженности отсутствуют.</w:t>
      </w:r>
    </w:p>
    <w:p w14:paraId="5320FD36"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По состоянию на 01 января 2020 года кредиторская задолженность составляет 770,03 руб. ПАО «Ростелеком» увеличилась по сравнению с прошлым отчетным периодом на 100%. Денежные средства будут оплачены  в январе 2020г.</w:t>
      </w:r>
    </w:p>
    <w:p w14:paraId="339ED2F7"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Задолженность по счету 208 «Расчеты с подотчетными лицами»  отсутствует.</w:t>
      </w:r>
    </w:p>
    <w:p w14:paraId="6F10191B"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Задолженность по счету 302 «Расчеты по принятым обязательствам» составляет</w:t>
      </w:r>
      <w:r w:rsidRPr="002D237D">
        <w:rPr>
          <w:rFonts w:ascii="Microsoft Sans Serif" w:eastAsia="Times New Roman" w:hAnsi="Microsoft Sans Serif" w:cs="Microsoft Sans Serif"/>
          <w:b/>
          <w:bCs/>
          <w:color w:val="000000"/>
          <w:sz w:val="28"/>
          <w:szCs w:val="28"/>
          <w:lang w:eastAsia="ru-RU"/>
        </w:rPr>
        <w:t xml:space="preserve"> </w:t>
      </w:r>
      <w:r w:rsidRPr="002D237D">
        <w:rPr>
          <w:rFonts w:ascii="Microsoft Sans Serif" w:eastAsia="Times New Roman" w:hAnsi="Microsoft Sans Serif" w:cs="Microsoft Sans Serif"/>
          <w:color w:val="000000"/>
          <w:sz w:val="28"/>
          <w:szCs w:val="28"/>
          <w:lang w:eastAsia="ru-RU"/>
        </w:rPr>
        <w:t>0,00 руб.</w:t>
      </w:r>
    </w:p>
    <w:p w14:paraId="57A016AB"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Задолженность по счету 303 «Расчеты по платежам в бюджеты» составляет 0,00руб.</w:t>
      </w:r>
    </w:p>
    <w:p w14:paraId="339293AF"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Просроченная кредиторская задолженность отсутствует.</w:t>
      </w:r>
    </w:p>
    <w:p w14:paraId="19387A31"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Долгосрочная кредиторская задолженность отсутствует.</w:t>
      </w:r>
    </w:p>
    <w:p w14:paraId="26B46692"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Управлением составляются квартальные и годовые акты сверок с контрагентами, и поквартально запрашивается сверка с налоговыми органами. </w:t>
      </w:r>
    </w:p>
    <w:p w14:paraId="71CFAE6D"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В отчетном периоде была проведена инвентаризация задолженности в разрезе заключенных договоров по каждому контрагенту, а также с Инспекцией федеральной налоговой службы по налогам и взносам.</w:t>
      </w:r>
    </w:p>
    <w:p w14:paraId="47637F10"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По состоянию на 01 января 2020 года задолженность подтверждена актами сверок с контрагентами.</w:t>
      </w:r>
    </w:p>
    <w:p w14:paraId="4F0E5F34"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За отчетный период 2020 года недостач и хищений денежных средств и материальных ценностей не установлено. </w:t>
      </w:r>
    </w:p>
    <w:p w14:paraId="75673849"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Задолженность по счету 209 «Расчеты по ущербу имуществу» отсутствует.</w:t>
      </w:r>
    </w:p>
    <w:p w14:paraId="13E74607"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Остаток на лицевом счете по средствам во временном распоряжении по состоянию на 01 января 2020 года составил 0,00 руб. </w:t>
      </w:r>
    </w:p>
    <w:p w14:paraId="2A76379C" w14:textId="77777777" w:rsidR="002D237D" w:rsidRPr="002D237D" w:rsidRDefault="002D237D" w:rsidP="002D237D">
      <w:pPr>
        <w:autoSpaceDE w:val="0"/>
        <w:autoSpaceDN w:val="0"/>
        <w:adjustRightInd w:val="0"/>
        <w:spacing w:after="0" w:line="240" w:lineRule="auto"/>
        <w:ind w:firstLine="700"/>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b/>
          <w:bCs/>
          <w:color w:val="000000"/>
          <w:sz w:val="28"/>
          <w:szCs w:val="28"/>
          <w:lang w:eastAsia="ru-RU"/>
        </w:rPr>
        <w:t>  </w:t>
      </w:r>
    </w:p>
    <w:p w14:paraId="144036F0" w14:textId="77777777" w:rsidR="002D237D" w:rsidRPr="002D237D" w:rsidRDefault="002D237D" w:rsidP="002D237D">
      <w:pPr>
        <w:autoSpaceDE w:val="0"/>
        <w:autoSpaceDN w:val="0"/>
        <w:adjustRightInd w:val="0"/>
        <w:spacing w:after="140" w:line="276" w:lineRule="auto"/>
        <w:jc w:val="center"/>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Анализ фактических и кассовых расходов</w:t>
      </w:r>
    </w:p>
    <w:tbl>
      <w:tblPr>
        <w:tblW w:w="10320" w:type="dxa"/>
        <w:tblCellMar>
          <w:left w:w="0" w:type="dxa"/>
          <w:right w:w="0" w:type="dxa"/>
        </w:tblCellMar>
        <w:tblLook w:val="0000" w:firstRow="0" w:lastRow="0" w:firstColumn="0" w:lastColumn="0" w:noHBand="0" w:noVBand="0"/>
      </w:tblPr>
      <w:tblGrid>
        <w:gridCol w:w="911"/>
        <w:gridCol w:w="756"/>
        <w:gridCol w:w="1104"/>
        <w:gridCol w:w="1067"/>
        <w:gridCol w:w="1017"/>
        <w:gridCol w:w="1017"/>
        <w:gridCol w:w="1017"/>
        <w:gridCol w:w="1017"/>
        <w:gridCol w:w="1222"/>
        <w:gridCol w:w="1252"/>
      </w:tblGrid>
      <w:tr w:rsidR="002D237D" w:rsidRPr="002D237D" w14:paraId="746F6AAC" w14:textId="77777777">
        <w:trPr>
          <w:trHeight w:val="605"/>
        </w:trPr>
        <w:tc>
          <w:tcPr>
            <w:tcW w:w="931"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E8851CD"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16"/>
                <w:szCs w:val="16"/>
                <w:lang w:eastAsia="ru-RU"/>
              </w:rPr>
              <w:t>Вид расходов</w:t>
            </w:r>
          </w:p>
        </w:tc>
        <w:tc>
          <w:tcPr>
            <w:tcW w:w="851"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EB723A7"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16"/>
                <w:szCs w:val="16"/>
                <w:lang w:eastAsia="ru-RU"/>
              </w:rPr>
              <w:t>КОСГУ</w:t>
            </w:r>
          </w:p>
        </w:tc>
        <w:tc>
          <w:tcPr>
            <w:tcW w:w="1308"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2DF9302"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16"/>
                <w:szCs w:val="16"/>
                <w:lang w:eastAsia="ru-RU"/>
              </w:rPr>
              <w:t>Касса (форма 0503123)</w:t>
            </w:r>
          </w:p>
        </w:tc>
        <w:tc>
          <w:tcPr>
            <w:tcW w:w="1129"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617AFA9"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16"/>
                <w:szCs w:val="16"/>
                <w:lang w:eastAsia="ru-RU"/>
              </w:rPr>
              <w:t>(форма 0503110)</w:t>
            </w:r>
          </w:p>
        </w:tc>
        <w:tc>
          <w:tcPr>
            <w:tcW w:w="1985"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5BAAA81"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16"/>
                <w:szCs w:val="16"/>
                <w:lang w:eastAsia="ru-RU"/>
              </w:rPr>
              <w:t>Дебиторская задолженность по состоянию (руб.)</w:t>
            </w:r>
          </w:p>
        </w:tc>
        <w:tc>
          <w:tcPr>
            <w:tcW w:w="1984"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52BF4FA"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16"/>
                <w:szCs w:val="16"/>
                <w:lang w:eastAsia="ru-RU"/>
              </w:rPr>
              <w:t>Кредиторская задолженность по состоянию (руб.)</w:t>
            </w:r>
          </w:p>
        </w:tc>
        <w:tc>
          <w:tcPr>
            <w:tcW w:w="992"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261D3B1"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16"/>
                <w:szCs w:val="16"/>
                <w:lang w:eastAsia="ru-RU"/>
              </w:rPr>
              <w:t>Расхождения (руб.)</w:t>
            </w:r>
          </w:p>
        </w:tc>
        <w:tc>
          <w:tcPr>
            <w:tcW w:w="1134"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E0301F9"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16"/>
                <w:szCs w:val="16"/>
                <w:lang w:eastAsia="ru-RU"/>
              </w:rPr>
              <w:t>Пояснение</w:t>
            </w:r>
          </w:p>
        </w:tc>
      </w:tr>
      <w:tr w:rsidR="002D237D" w:rsidRPr="002D237D" w14:paraId="2E899510" w14:textId="77777777">
        <w:trPr>
          <w:trHeight w:val="593"/>
        </w:trPr>
        <w:tc>
          <w:tcPr>
            <w:tcW w:w="931" w:type="dxa"/>
            <w:vMerge/>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15C31AE"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851" w:type="dxa"/>
            <w:vMerge/>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8EAE14F"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308" w:type="dxa"/>
            <w:vMerge/>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5D292B3"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29" w:type="dxa"/>
            <w:vMerge/>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A52D8BC"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Times New Roman" w:eastAsia="Times New Roman" w:hAnsi="Times New Roman" w:cs="Times New Roman"/>
                <w:sz w:val="24"/>
                <w:szCs w:val="24"/>
                <w:lang w:eastAsia="ru-RU"/>
              </w:rPr>
              <w:t xml:space="preserve">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75179DE"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16"/>
                <w:szCs w:val="16"/>
                <w:lang w:eastAsia="ru-RU"/>
              </w:rPr>
              <w:t>на 01.01.2019</w:t>
            </w:r>
          </w:p>
          <w:p w14:paraId="4BBCFDC2"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16"/>
                <w:szCs w:val="16"/>
                <w:lang w:eastAsia="ru-RU"/>
              </w:rPr>
              <w:t>+ 0,00</w:t>
            </w:r>
          </w:p>
        </w:tc>
        <w:tc>
          <w:tcPr>
            <w:tcW w:w="9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C5FD997"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16"/>
                <w:szCs w:val="16"/>
                <w:lang w:eastAsia="ru-RU"/>
              </w:rPr>
              <w:t>на 01.01.2020</w:t>
            </w:r>
          </w:p>
          <w:p w14:paraId="742B2EB9"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16"/>
                <w:szCs w:val="16"/>
                <w:lang w:eastAsia="ru-RU"/>
              </w:rPr>
              <w:t>- 0,00</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7AC6A3D"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16"/>
                <w:szCs w:val="16"/>
                <w:lang w:eastAsia="ru-RU"/>
              </w:rPr>
              <w:t>на 01.01.2019</w:t>
            </w:r>
          </w:p>
          <w:p w14:paraId="6C7489E3"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16"/>
                <w:szCs w:val="16"/>
                <w:lang w:eastAsia="ru-RU"/>
              </w:rPr>
              <w:t>- 0,00</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DDAC09A"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16"/>
                <w:szCs w:val="16"/>
                <w:lang w:eastAsia="ru-RU"/>
              </w:rPr>
              <w:t>на 01.01.2020</w:t>
            </w:r>
          </w:p>
          <w:p w14:paraId="5C1BA697"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16"/>
                <w:szCs w:val="16"/>
                <w:lang w:eastAsia="ru-RU"/>
              </w:rPr>
              <w:t>+ 0,00</w:t>
            </w:r>
          </w:p>
        </w:tc>
        <w:tc>
          <w:tcPr>
            <w:tcW w:w="992" w:type="dxa"/>
            <w:vMerge/>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BD2D61C"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134" w:type="dxa"/>
            <w:vMerge/>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26CAF30"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p>
        </w:tc>
      </w:tr>
      <w:tr w:rsidR="002D237D" w:rsidRPr="002D237D" w14:paraId="0600EF6A" w14:textId="77777777">
        <w:tc>
          <w:tcPr>
            <w:tcW w:w="9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F284B5F"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121</w:t>
            </w:r>
          </w:p>
        </w:tc>
        <w:tc>
          <w:tcPr>
            <w:tcW w:w="8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7E05D11"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211</w:t>
            </w:r>
          </w:p>
        </w:tc>
        <w:tc>
          <w:tcPr>
            <w:tcW w:w="13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55F4232"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12280819,98</w:t>
            </w:r>
          </w:p>
        </w:tc>
        <w:tc>
          <w:tcPr>
            <w:tcW w:w="1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27B5D17"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12280819,98</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1AF2EF9"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8A9C459"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3DE6586"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5E97B54"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92D2173"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369341C"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8"/>
                <w:szCs w:val="18"/>
                <w:lang w:eastAsia="ru-RU"/>
              </w:rPr>
              <w:t> </w:t>
            </w:r>
          </w:p>
        </w:tc>
      </w:tr>
      <w:tr w:rsidR="002D237D" w:rsidRPr="002D237D" w14:paraId="3262CA48" w14:textId="77777777">
        <w:tc>
          <w:tcPr>
            <w:tcW w:w="9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CED75CB"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122</w:t>
            </w:r>
          </w:p>
        </w:tc>
        <w:tc>
          <w:tcPr>
            <w:tcW w:w="8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CCCE71A"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xml:space="preserve">212 </w:t>
            </w:r>
          </w:p>
        </w:tc>
        <w:tc>
          <w:tcPr>
            <w:tcW w:w="13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BCAC21D"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12562,00</w:t>
            </w:r>
          </w:p>
          <w:p w14:paraId="7C859B23"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p w14:paraId="2C9D8E4B"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c>
          <w:tcPr>
            <w:tcW w:w="1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368A166"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12562,00</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0048AD7"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94F2A34"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D12ED66"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A2A3A18"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10394F7"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176B74D"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8"/>
                <w:szCs w:val="18"/>
                <w:lang w:eastAsia="ru-RU"/>
              </w:rPr>
              <w:t> </w:t>
            </w:r>
          </w:p>
        </w:tc>
      </w:tr>
      <w:tr w:rsidR="002D237D" w:rsidRPr="002D237D" w14:paraId="52F0AEA3" w14:textId="77777777">
        <w:tc>
          <w:tcPr>
            <w:tcW w:w="9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2F706AC"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129</w:t>
            </w:r>
          </w:p>
        </w:tc>
        <w:tc>
          <w:tcPr>
            <w:tcW w:w="8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9C7B825"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213</w:t>
            </w:r>
          </w:p>
        </w:tc>
        <w:tc>
          <w:tcPr>
            <w:tcW w:w="13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DF03E1A"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3696927,98</w:t>
            </w:r>
          </w:p>
        </w:tc>
        <w:tc>
          <w:tcPr>
            <w:tcW w:w="1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48B6368"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3696927,98</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2715F47"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261001C"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E4DF96E"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066C0D6"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1009D59"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FA11D60"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r>
      <w:tr w:rsidR="002D237D" w:rsidRPr="002D237D" w14:paraId="5806DEC9" w14:textId="77777777">
        <w:tc>
          <w:tcPr>
            <w:tcW w:w="9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66876FB"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244</w:t>
            </w:r>
          </w:p>
        </w:tc>
        <w:tc>
          <w:tcPr>
            <w:tcW w:w="8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0A97E3C"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221</w:t>
            </w:r>
          </w:p>
        </w:tc>
        <w:tc>
          <w:tcPr>
            <w:tcW w:w="13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15C91CD"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147403,55</w:t>
            </w:r>
          </w:p>
        </w:tc>
        <w:tc>
          <w:tcPr>
            <w:tcW w:w="1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7521C51"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158037,58</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4154E22"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06327D2"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6FB8957"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AD0B795"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770,03</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41F94F7"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-10634,03</w:t>
            </w: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AA2864C"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(В ф. 110 учитывается фондовая касса)</w:t>
            </w:r>
          </w:p>
        </w:tc>
      </w:tr>
      <w:tr w:rsidR="002D237D" w:rsidRPr="002D237D" w14:paraId="06EE455B" w14:textId="77777777">
        <w:tc>
          <w:tcPr>
            <w:tcW w:w="9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A9DA24F"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244</w:t>
            </w:r>
          </w:p>
        </w:tc>
        <w:tc>
          <w:tcPr>
            <w:tcW w:w="8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C6869A5"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223</w:t>
            </w:r>
          </w:p>
        </w:tc>
        <w:tc>
          <w:tcPr>
            <w:tcW w:w="13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CA9BA94"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234171,43</w:t>
            </w:r>
          </w:p>
        </w:tc>
        <w:tc>
          <w:tcPr>
            <w:tcW w:w="1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6679F39"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234171,43</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0543748"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9D99C60"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C50D2D6"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3B52BEA"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862977B"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95A43F8"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r>
      <w:tr w:rsidR="002D237D" w:rsidRPr="002D237D" w14:paraId="26AC723A" w14:textId="77777777">
        <w:tc>
          <w:tcPr>
            <w:tcW w:w="9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DE779BD"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244</w:t>
            </w:r>
          </w:p>
        </w:tc>
        <w:tc>
          <w:tcPr>
            <w:tcW w:w="8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4364504"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224</w:t>
            </w:r>
          </w:p>
        </w:tc>
        <w:tc>
          <w:tcPr>
            <w:tcW w:w="13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1027FF3"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864,00</w:t>
            </w:r>
          </w:p>
        </w:tc>
        <w:tc>
          <w:tcPr>
            <w:tcW w:w="1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7F34A6A"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864,00</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B7ACD1A"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11B3D61"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D0E9166"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2ECC3C1"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01EAAD1"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38BD664"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r>
      <w:tr w:rsidR="002D237D" w:rsidRPr="002D237D" w14:paraId="4C8C4D7F" w14:textId="77777777">
        <w:tc>
          <w:tcPr>
            <w:tcW w:w="9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0A6E1E1"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323</w:t>
            </w:r>
          </w:p>
        </w:tc>
        <w:tc>
          <w:tcPr>
            <w:tcW w:w="8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D34412A"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225</w:t>
            </w:r>
          </w:p>
        </w:tc>
        <w:tc>
          <w:tcPr>
            <w:tcW w:w="13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8B4CC96"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159025,00</w:t>
            </w:r>
          </w:p>
        </w:tc>
        <w:tc>
          <w:tcPr>
            <w:tcW w:w="1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B1978A7"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159025,00</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B365031"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DAF6A7A"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D949BC4"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928990C"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5846276"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2C22181"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r>
      <w:tr w:rsidR="002D237D" w:rsidRPr="002D237D" w14:paraId="28303EE4" w14:textId="77777777">
        <w:tc>
          <w:tcPr>
            <w:tcW w:w="9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D85CFBD"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323</w:t>
            </w:r>
          </w:p>
        </w:tc>
        <w:tc>
          <w:tcPr>
            <w:tcW w:w="8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17F4DE4"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226</w:t>
            </w:r>
          </w:p>
        </w:tc>
        <w:tc>
          <w:tcPr>
            <w:tcW w:w="13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BDC0191"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24289045,95</w:t>
            </w:r>
          </w:p>
        </w:tc>
        <w:tc>
          <w:tcPr>
            <w:tcW w:w="1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234D411"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24289045,95</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FB87974"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318127D"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D89F37E"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04EF773"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077DCFB"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16559BC"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r>
      <w:tr w:rsidR="002D237D" w:rsidRPr="002D237D" w14:paraId="21B10FE1" w14:textId="77777777">
        <w:tc>
          <w:tcPr>
            <w:tcW w:w="9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DE97024"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122</w:t>
            </w:r>
          </w:p>
        </w:tc>
        <w:tc>
          <w:tcPr>
            <w:tcW w:w="8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F800D13"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226</w:t>
            </w:r>
          </w:p>
        </w:tc>
        <w:tc>
          <w:tcPr>
            <w:tcW w:w="13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E827AF4"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64338,20</w:t>
            </w:r>
          </w:p>
        </w:tc>
        <w:tc>
          <w:tcPr>
            <w:tcW w:w="1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EB3AF70"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64338,20</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E5E62DC"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6035F7A"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A727EB9"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57449E9"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9444D28"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C50C561"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r>
      <w:tr w:rsidR="002D237D" w:rsidRPr="002D237D" w14:paraId="33EC05F4" w14:textId="77777777">
        <w:tc>
          <w:tcPr>
            <w:tcW w:w="9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0BAE4F6"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244</w:t>
            </w:r>
          </w:p>
        </w:tc>
        <w:tc>
          <w:tcPr>
            <w:tcW w:w="8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CEE6A03"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226</w:t>
            </w:r>
          </w:p>
        </w:tc>
        <w:tc>
          <w:tcPr>
            <w:tcW w:w="13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165DB38"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436742,40</w:t>
            </w:r>
          </w:p>
        </w:tc>
        <w:tc>
          <w:tcPr>
            <w:tcW w:w="1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B97BCEC"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428952,40</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73791CF"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9E19780"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E7DF985"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1DA2C00"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9D6B6D2"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7790</w:t>
            </w: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D306052"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передача права на использование ПО ViPNet</w:t>
            </w:r>
          </w:p>
        </w:tc>
      </w:tr>
      <w:tr w:rsidR="002D237D" w:rsidRPr="002D237D" w14:paraId="6DFE998A" w14:textId="77777777">
        <w:tc>
          <w:tcPr>
            <w:tcW w:w="9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0AD2528"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244</w:t>
            </w:r>
          </w:p>
        </w:tc>
        <w:tc>
          <w:tcPr>
            <w:tcW w:w="8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D7715E6"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227</w:t>
            </w:r>
          </w:p>
        </w:tc>
        <w:tc>
          <w:tcPr>
            <w:tcW w:w="13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C8FCC08"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8334,90</w:t>
            </w:r>
          </w:p>
        </w:tc>
        <w:tc>
          <w:tcPr>
            <w:tcW w:w="1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3932C15"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4056,32</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00EE34D"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632F5F9"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C133051"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7316B9D"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DFA5E38"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4278,58</w:t>
            </w: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8FD71AC"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(ОСАГО)</w:t>
            </w:r>
          </w:p>
        </w:tc>
      </w:tr>
      <w:tr w:rsidR="002D237D" w:rsidRPr="002D237D" w14:paraId="5572C430" w14:textId="77777777">
        <w:tc>
          <w:tcPr>
            <w:tcW w:w="9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B553CF7"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811</w:t>
            </w:r>
          </w:p>
        </w:tc>
        <w:tc>
          <w:tcPr>
            <w:tcW w:w="8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010B70E"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246</w:t>
            </w:r>
          </w:p>
        </w:tc>
        <w:tc>
          <w:tcPr>
            <w:tcW w:w="13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C4B806F"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2554600,50</w:t>
            </w:r>
          </w:p>
        </w:tc>
        <w:tc>
          <w:tcPr>
            <w:tcW w:w="1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78AEEFB"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2554600,50</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7FEBFB0"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30CBF19"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B0BD4D0"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FEFE1EB"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0BAC140"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79475AA"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r>
      <w:tr w:rsidR="002D237D" w:rsidRPr="002D237D" w14:paraId="5377B4E8" w14:textId="77777777">
        <w:tc>
          <w:tcPr>
            <w:tcW w:w="9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EDD3F94"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811</w:t>
            </w:r>
          </w:p>
        </w:tc>
        <w:tc>
          <w:tcPr>
            <w:tcW w:w="8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8DCD7F2"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246</w:t>
            </w:r>
          </w:p>
        </w:tc>
        <w:tc>
          <w:tcPr>
            <w:tcW w:w="13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B554E2F"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427615,00</w:t>
            </w:r>
          </w:p>
        </w:tc>
        <w:tc>
          <w:tcPr>
            <w:tcW w:w="1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2A530E0"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427615,00</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650C603"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3C92340"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65A36FF"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DFCD24B"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71C522C"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4895466"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r>
      <w:tr w:rsidR="002D237D" w:rsidRPr="002D237D" w14:paraId="36D6B611" w14:textId="77777777">
        <w:tc>
          <w:tcPr>
            <w:tcW w:w="9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263F8D5"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313</w:t>
            </w:r>
          </w:p>
        </w:tc>
        <w:tc>
          <w:tcPr>
            <w:tcW w:w="8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04DC0F8"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262</w:t>
            </w:r>
          </w:p>
        </w:tc>
        <w:tc>
          <w:tcPr>
            <w:tcW w:w="13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1F0CFC7"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13782912,13</w:t>
            </w:r>
          </w:p>
        </w:tc>
        <w:tc>
          <w:tcPr>
            <w:tcW w:w="1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E5FA511"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13782912,13</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64C3142"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40A5E4F"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CD0D26C"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22524EB"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606213E"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4360124"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r>
      <w:tr w:rsidR="002D237D" w:rsidRPr="002D237D" w14:paraId="1ACC5576" w14:textId="77777777">
        <w:tc>
          <w:tcPr>
            <w:tcW w:w="9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6138AE8"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323</w:t>
            </w:r>
          </w:p>
        </w:tc>
        <w:tc>
          <w:tcPr>
            <w:tcW w:w="8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6C4D33B"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263</w:t>
            </w:r>
          </w:p>
        </w:tc>
        <w:tc>
          <w:tcPr>
            <w:tcW w:w="13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7E835F5"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114843,83</w:t>
            </w:r>
          </w:p>
        </w:tc>
        <w:tc>
          <w:tcPr>
            <w:tcW w:w="1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26AC255"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114843,83</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4AE17EA"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5D82819"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0873ADA"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EE962BC"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A7DA036"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0781BBA"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r>
      <w:tr w:rsidR="002D237D" w:rsidRPr="002D237D" w14:paraId="21DF0A4D" w14:textId="77777777">
        <w:tc>
          <w:tcPr>
            <w:tcW w:w="9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BF74DC3"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323</w:t>
            </w:r>
          </w:p>
        </w:tc>
        <w:tc>
          <w:tcPr>
            <w:tcW w:w="8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96EF22A"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263</w:t>
            </w:r>
          </w:p>
        </w:tc>
        <w:tc>
          <w:tcPr>
            <w:tcW w:w="13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04D1FEB"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779489,43</w:t>
            </w:r>
          </w:p>
        </w:tc>
        <w:tc>
          <w:tcPr>
            <w:tcW w:w="1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9CE56AE"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779489,43</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BE04906"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65E2FAA"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6576758"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2248BF7"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F1A32E9"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B1FE69E"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r>
      <w:tr w:rsidR="002D237D" w:rsidRPr="002D237D" w14:paraId="1E05BBD9" w14:textId="77777777">
        <w:tc>
          <w:tcPr>
            <w:tcW w:w="9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49AE9B8"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121</w:t>
            </w:r>
          </w:p>
        </w:tc>
        <w:tc>
          <w:tcPr>
            <w:tcW w:w="8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604DEBB"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266</w:t>
            </w:r>
          </w:p>
        </w:tc>
        <w:tc>
          <w:tcPr>
            <w:tcW w:w="13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3E19030"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28149,02</w:t>
            </w:r>
          </w:p>
        </w:tc>
        <w:tc>
          <w:tcPr>
            <w:tcW w:w="1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F655CA0"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28149,02</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E9F4223"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EB914A7"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D5A1FA4"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57C894E"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5AC4E0E"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E3B24F5"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r>
      <w:tr w:rsidR="002D237D" w:rsidRPr="002D237D" w14:paraId="67A3A138" w14:textId="77777777">
        <w:tc>
          <w:tcPr>
            <w:tcW w:w="9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D043C70"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122</w:t>
            </w:r>
          </w:p>
        </w:tc>
        <w:tc>
          <w:tcPr>
            <w:tcW w:w="8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68F6EE8"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266</w:t>
            </w:r>
          </w:p>
        </w:tc>
        <w:tc>
          <w:tcPr>
            <w:tcW w:w="13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79E6211"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624,83</w:t>
            </w:r>
          </w:p>
        </w:tc>
        <w:tc>
          <w:tcPr>
            <w:tcW w:w="1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2251153"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624,83</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3166D41"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E6A10C3"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611BA86"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12D5B34"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410C066"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1B1A8C1"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r>
      <w:tr w:rsidR="002D237D" w:rsidRPr="002D237D" w14:paraId="40859135" w14:textId="77777777">
        <w:tc>
          <w:tcPr>
            <w:tcW w:w="9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B6CC886"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244</w:t>
            </w:r>
          </w:p>
        </w:tc>
        <w:tc>
          <w:tcPr>
            <w:tcW w:w="8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75574B9"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310</w:t>
            </w:r>
          </w:p>
        </w:tc>
        <w:tc>
          <w:tcPr>
            <w:tcW w:w="13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46BD850"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24635,00</w:t>
            </w:r>
          </w:p>
        </w:tc>
        <w:tc>
          <w:tcPr>
            <w:tcW w:w="1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8565F9C"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49EC8C0"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A8848DD"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9601B54"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7054593"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04AED00"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24635,00</w:t>
            </w: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572CF40"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Покупка основных средств</w:t>
            </w:r>
          </w:p>
        </w:tc>
      </w:tr>
      <w:tr w:rsidR="002D237D" w:rsidRPr="002D237D" w14:paraId="3B9AC3CC" w14:textId="77777777">
        <w:tc>
          <w:tcPr>
            <w:tcW w:w="9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F20789E"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244</w:t>
            </w:r>
          </w:p>
        </w:tc>
        <w:tc>
          <w:tcPr>
            <w:tcW w:w="8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BC0217B"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343</w:t>
            </w:r>
          </w:p>
        </w:tc>
        <w:tc>
          <w:tcPr>
            <w:tcW w:w="13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4D174F5"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142558,03</w:t>
            </w:r>
          </w:p>
        </w:tc>
        <w:tc>
          <w:tcPr>
            <w:tcW w:w="1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280857D"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78DE5E0"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9B89791"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99B83AC"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E1729D7"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9ACD41A"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142558,03</w:t>
            </w: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651CFB8"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Покупка ГСМ</w:t>
            </w:r>
          </w:p>
        </w:tc>
      </w:tr>
      <w:tr w:rsidR="002D237D" w:rsidRPr="002D237D" w14:paraId="79CF957E" w14:textId="77777777">
        <w:tc>
          <w:tcPr>
            <w:tcW w:w="9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B564FFD"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244</w:t>
            </w:r>
          </w:p>
        </w:tc>
        <w:tc>
          <w:tcPr>
            <w:tcW w:w="8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9475F71"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346</w:t>
            </w:r>
          </w:p>
        </w:tc>
        <w:tc>
          <w:tcPr>
            <w:tcW w:w="13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2257DA4"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712853,69</w:t>
            </w:r>
          </w:p>
        </w:tc>
        <w:tc>
          <w:tcPr>
            <w:tcW w:w="1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351E5B4"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7E5FE29"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D544794"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54AED0E"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6750854"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2CD5AFB"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712853,69</w:t>
            </w: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B280834"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Покупка мат. запасов</w:t>
            </w:r>
          </w:p>
        </w:tc>
      </w:tr>
      <w:tr w:rsidR="002D237D" w:rsidRPr="002D237D" w14:paraId="7A4591F8" w14:textId="77777777">
        <w:tc>
          <w:tcPr>
            <w:tcW w:w="9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BA7047A"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c>
          <w:tcPr>
            <w:tcW w:w="8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1637FFB"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271</w:t>
            </w:r>
          </w:p>
        </w:tc>
        <w:tc>
          <w:tcPr>
            <w:tcW w:w="13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1319AD9"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c>
          <w:tcPr>
            <w:tcW w:w="1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70E486F"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265833,00</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9FD7662"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BB35FF3"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B74B8A8"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7DCD487"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DD23488"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-265833,00</w:t>
            </w: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1436180E"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Амортизация основных средств</w:t>
            </w:r>
          </w:p>
        </w:tc>
      </w:tr>
      <w:tr w:rsidR="002D237D" w:rsidRPr="002D237D" w14:paraId="09437E53" w14:textId="77777777">
        <w:tc>
          <w:tcPr>
            <w:tcW w:w="9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9FDE2D5"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c>
          <w:tcPr>
            <w:tcW w:w="8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BF3FC70"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272</w:t>
            </w:r>
          </w:p>
        </w:tc>
        <w:tc>
          <w:tcPr>
            <w:tcW w:w="13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A284694"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c>
          <w:tcPr>
            <w:tcW w:w="1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6287933"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343414,80</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9BE86C5"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D452D53"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1E8A95C"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5B610F5"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4B53516"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-343141,80</w:t>
            </w: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6C25BAB"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Списание материальных запасов</w:t>
            </w:r>
          </w:p>
        </w:tc>
      </w:tr>
      <w:tr w:rsidR="002D237D" w:rsidRPr="002D237D" w14:paraId="755ACBA6" w14:textId="77777777">
        <w:tc>
          <w:tcPr>
            <w:tcW w:w="9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D51E966"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c>
          <w:tcPr>
            <w:tcW w:w="85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A73F78C"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211</w:t>
            </w:r>
          </w:p>
        </w:tc>
        <w:tc>
          <w:tcPr>
            <w:tcW w:w="130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DEC9BAF"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59898516,85</w:t>
            </w:r>
          </w:p>
        </w:tc>
        <w:tc>
          <w:tcPr>
            <w:tcW w:w="1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91D8301"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59626010,38</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C37B5EC"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04B028A"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8AD3FE0"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97842BF"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tc>
        <w:tc>
          <w:tcPr>
            <w:tcW w:w="9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5A59970"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Times New Roman" w:eastAsia="Times New Roman" w:hAnsi="Times New Roman" w:cs="Times New Roman"/>
                <w:color w:val="000000"/>
                <w:sz w:val="16"/>
                <w:szCs w:val="16"/>
                <w:lang w:eastAsia="ru-RU"/>
              </w:rPr>
              <w:t>273276,50</w:t>
            </w:r>
          </w:p>
        </w:tc>
        <w:tc>
          <w:tcPr>
            <w:tcW w:w="113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CFC47C8"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 </w:t>
            </w:r>
          </w:p>
        </w:tc>
      </w:tr>
    </w:tbl>
    <w:p w14:paraId="37439338" w14:textId="77777777" w:rsidR="002D237D" w:rsidRPr="002D237D" w:rsidRDefault="002D237D" w:rsidP="002D237D">
      <w:pPr>
        <w:autoSpaceDE w:val="0"/>
        <w:autoSpaceDN w:val="0"/>
        <w:adjustRightInd w:val="0"/>
        <w:spacing w:after="140" w:line="276"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p w14:paraId="3673A52F"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p w14:paraId="0D94CDC0" w14:textId="77777777" w:rsidR="002D237D" w:rsidRPr="002D237D" w:rsidRDefault="002D237D" w:rsidP="002D237D">
      <w:pPr>
        <w:autoSpaceDE w:val="0"/>
        <w:autoSpaceDN w:val="0"/>
        <w:adjustRightInd w:val="0"/>
        <w:spacing w:after="0" w:line="240" w:lineRule="auto"/>
        <w:ind w:firstLine="700"/>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b/>
          <w:bCs/>
          <w:color w:val="000000"/>
          <w:sz w:val="20"/>
          <w:szCs w:val="20"/>
          <w:lang w:eastAsia="ru-RU"/>
        </w:rPr>
        <w:t> </w:t>
      </w:r>
    </w:p>
    <w:p w14:paraId="20A5F1C7" w14:textId="77777777" w:rsidR="002D237D" w:rsidRPr="002D237D" w:rsidRDefault="002D237D" w:rsidP="002D237D">
      <w:pPr>
        <w:autoSpaceDE w:val="0"/>
        <w:autoSpaceDN w:val="0"/>
        <w:adjustRightInd w:val="0"/>
        <w:spacing w:after="0" w:line="240" w:lineRule="auto"/>
        <w:ind w:firstLine="700"/>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b/>
          <w:bCs/>
          <w:color w:val="000000"/>
          <w:sz w:val="20"/>
          <w:szCs w:val="20"/>
          <w:lang w:eastAsia="ru-RU"/>
        </w:rPr>
        <w:t> </w:t>
      </w:r>
    </w:p>
    <w:p w14:paraId="19392D85" w14:textId="77777777" w:rsidR="002D237D" w:rsidRPr="002D237D" w:rsidRDefault="002D237D" w:rsidP="002D237D">
      <w:pPr>
        <w:autoSpaceDE w:val="0"/>
        <w:autoSpaceDN w:val="0"/>
        <w:adjustRightInd w:val="0"/>
        <w:spacing w:after="0" w:line="240" w:lineRule="auto"/>
        <w:ind w:firstLine="700"/>
        <w:jc w:val="center"/>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b/>
          <w:bCs/>
          <w:color w:val="000000"/>
          <w:sz w:val="20"/>
          <w:szCs w:val="20"/>
          <w:shd w:val="clear" w:color="auto" w:fill="FFFFFF"/>
          <w:lang w:eastAsia="ru-RU"/>
        </w:rPr>
        <w:t>Раздел 5. Прочие вопросы деятельности субъекта бюджетной отчетности</w:t>
      </w:r>
    </w:p>
    <w:p w14:paraId="41941312"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0"/>
          <w:szCs w:val="20"/>
          <w:lang w:eastAsia="ru-RU"/>
        </w:rPr>
        <w:t> </w:t>
      </w:r>
    </w:p>
    <w:p w14:paraId="68AC6584"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shd w:val="clear" w:color="auto" w:fill="FFFFFF"/>
          <w:lang w:eastAsia="ru-RU"/>
        </w:rPr>
        <w:t>Бюджетный учет осуществляется в соответствии с Бюджетным кодексом Российской Федерации, Налоговым кодексом Российской Федерации, Федеральным законом от 06 декабря 2011 № 402 ФЗ «О бухгалтерском учете» (далее – Федеральный закон 402 ФЗ), приказом Министерства финансов Российской Федерации от 01.12.2010 №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учреждения государственными внебюджетными фондами, государственных академий наук, государственных (муниципальных) учреждений и инструкции по его применению» (далее – Инструкция 157н), приказом Министерства финансов Российской Федерации 06.12.2010 № 162н «Об утверждении плана счетов бюджетного учета и инструкции по его применению» (далее – Инструкция 162н), учетной политикой Управления.</w:t>
      </w:r>
    </w:p>
    <w:p w14:paraId="38BF59D6"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shd w:val="clear" w:color="auto" w:fill="FFFFFF"/>
          <w:lang w:eastAsia="ru-RU"/>
        </w:rPr>
        <w:t>При составлении бюджетной отчетности Управление руководствуется приказом Министерства финансов Российской Федерации от 28.12.2010 № 191н «Об утверждении Инструкции о порядке составления и представления годовой, квартальной и месячной отчетности об исполнении бюджетов бюджетной системы Российской Федерации» (далее – Инструкция 191н).</w:t>
      </w:r>
    </w:p>
    <w:p w14:paraId="1FE63B43"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Бухгалтерский учет в Управлении ведется автоматизированным способом с помощью бухгалтерских программ “1:С Предприятие 8.2”, «Свод-Смарт» 1:С Предприятие Зарплата и кадры»", “Контур-Экстерн”, Smart-Бюджет, Сбербанк бизнес онлайн, портал МУГИ СО.</w:t>
      </w:r>
    </w:p>
    <w:p w14:paraId="5E7C4EFB"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Учетная политика Управления, утверждена приказом от 25.12.2018 № 1004.</w:t>
      </w:r>
    </w:p>
    <w:p w14:paraId="61EEE4A0"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shd w:val="clear" w:color="auto" w:fill="FFFFFF"/>
          <w:lang w:eastAsia="ru-RU"/>
        </w:rPr>
        <w:t>Особенности ведения бюджетного учета в соответствии с Учетной политикой Управления:</w:t>
      </w:r>
    </w:p>
    <w:p w14:paraId="24C5A81E"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shd w:val="clear" w:color="auto" w:fill="FFFFFF"/>
          <w:lang w:eastAsia="ru-RU"/>
        </w:rPr>
        <w:t>одноименные материальные запасы списываются на фактические расходы учреждения по средней стоимости.</w:t>
      </w:r>
    </w:p>
    <w:p w14:paraId="4DCF4025"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shd w:val="clear" w:color="auto" w:fill="FFFFFF"/>
          <w:lang w:eastAsia="ru-RU"/>
        </w:rPr>
        <w:t>В соответствии с Положением о внутреннем финансовом контроле, утвержденным Приказом начальника от 01.06.2016 № 419 (приложение №3 к учетной политике) определен порядок организации и обеспечения Управлением внутреннего финансового контроля в целях соблюдения требований бюджетного законодательства, соблюдения финансовой дисциплины и эффективного использования материальных и финансовых ресурсов, а также правильного ведения бюджетного учета и составления бюджетной отчетности.</w:t>
      </w:r>
    </w:p>
    <w:p w14:paraId="22DC9C97"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shd w:val="clear" w:color="auto" w:fill="FFFFFF"/>
          <w:lang w:eastAsia="ru-RU"/>
        </w:rPr>
        <w:t>В целях эффективного и целевого использования расходования денежных средств, недопущения необоснованной кредиторской задолженности осуществляются различные виды контроля: предварительный, текущий и последующий:</w:t>
      </w:r>
    </w:p>
    <w:p w14:paraId="04701BD5"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shd w:val="clear" w:color="auto" w:fill="FFFFFF"/>
          <w:lang w:eastAsia="ru-RU"/>
        </w:rPr>
        <w:t xml:space="preserve">1) Предварительный контроль – комплекс процедур и мероприятий, направленных на предотвращение возможно ошибочных и (или) незаконных действий до совершения финансово-хозяйственной операции (ряда финансово-хозяйственных операций): </w:t>
      </w:r>
    </w:p>
    <w:p w14:paraId="5BE87F16"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shd w:val="clear" w:color="auto" w:fill="FFFFFF"/>
          <w:lang w:eastAsia="ru-RU"/>
        </w:rPr>
        <w:t>контроль за осуществлением закупок в соответствии с Планом-графиком;</w:t>
      </w:r>
    </w:p>
    <w:p w14:paraId="01605E7D"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shd w:val="clear" w:color="auto" w:fill="FFFFFF"/>
          <w:lang w:eastAsia="ru-RU"/>
        </w:rPr>
        <w:t>контроль за принятием обязательств в пределах выделенных ассигнований и лимитов бюджетных обязательств;</w:t>
      </w:r>
    </w:p>
    <w:p w14:paraId="69159FAC"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shd w:val="clear" w:color="auto" w:fill="FFFFFF"/>
          <w:lang w:eastAsia="ru-RU"/>
        </w:rPr>
        <w:t>проверка первичных учетных документов на наличие в них обязательных реквизитов и соответствие установленным формам;</w:t>
      </w:r>
    </w:p>
    <w:p w14:paraId="7D9B8783"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shd w:val="clear" w:color="auto" w:fill="FFFFFF"/>
          <w:lang w:eastAsia="ru-RU"/>
        </w:rPr>
        <w:t>проверка специалистами отдела бухгалтерского учета и отчетности Управления бюджетной отчетности до ее подписания;</w:t>
      </w:r>
    </w:p>
    <w:p w14:paraId="52AAA5D3"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shd w:val="clear" w:color="auto" w:fill="FFFFFF"/>
          <w:lang w:eastAsia="ru-RU"/>
        </w:rPr>
        <w:t xml:space="preserve">2) </w:t>
      </w:r>
      <w:r w:rsidRPr="002D237D">
        <w:rPr>
          <w:rFonts w:ascii="Microsoft Sans Serif" w:eastAsia="Times New Roman" w:hAnsi="Microsoft Sans Serif" w:cs="Microsoft Sans Serif"/>
          <w:color w:val="000000"/>
          <w:sz w:val="28"/>
          <w:szCs w:val="28"/>
          <w:lang w:eastAsia="ru-RU"/>
        </w:rPr>
        <w:t>Текущий контроль – комплекс процедур и мероприятий, направленных на предотвращение ошибочных и (или) незаконных действий в процессе совершения финансово-хозяйственной операции (ряда финансово-хозяйственных операций):</w:t>
      </w:r>
    </w:p>
    <w:p w14:paraId="77A86598"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проверка расходных денежных документов до их оплаты. Фактом внутреннего финансового контроля является разрешение к оплате документов; </w:t>
      </w:r>
    </w:p>
    <w:p w14:paraId="124E5F2C"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ежемесячные плановые и внеплановые инвентаризации остатков денежной наличности в кассе Управлений. Проведение внезапных проверок кассы;</w:t>
      </w:r>
    </w:p>
    <w:p w14:paraId="63A5E4A3"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ежемесячное снятие показаний спидометра для учета расходования ГСМ. Ежемесячная проверка соответствия показаний спидометров служебных автомобилей данным, отраженным водителями в путевых листах, контроль за соблюдением норм расходов ГСМ;</w:t>
      </w:r>
    </w:p>
    <w:p w14:paraId="6E413042"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проверка у подотчетных лиц наличия полученных под отчет денежных средств и (или) оправдательных документов; </w:t>
      </w:r>
    </w:p>
    <w:p w14:paraId="55E53528"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контроль за взысканием дебиторской и погашением кредиторской задолженности; </w:t>
      </w:r>
    </w:p>
    <w:p w14:paraId="55352FFF"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сверка данных аналитического учета с данными синтетического учета; </w:t>
      </w:r>
    </w:p>
    <w:p w14:paraId="747F3C20"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проверка фактического наличия материальных средств; </w:t>
      </w:r>
    </w:p>
    <w:p w14:paraId="50328671"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контроль за правомерностью поездок на служебном автомобиле, ежедневный контроль за расходованием ГСМ;</w:t>
      </w:r>
    </w:p>
    <w:p w14:paraId="3D5C8FC4"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проведение инвентаризации имущества, БСО, денежных документов при смене материально-ответственных лиц и перед составлением годового отчета; </w:t>
      </w:r>
    </w:p>
    <w:p w14:paraId="23042F91"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проверка правильности начисления оплаты труда, начисления налогов, НДФЛ, страховых взносов и прочих налогов и сборов. Сверка расчетов с налоговыми органами, государственными внебюджетными фондами;</w:t>
      </w:r>
    </w:p>
    <w:p w14:paraId="72A18D96"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проверка соответствия полученных товаров (работ, услуг) номенклатуре;</w:t>
      </w:r>
    </w:p>
    <w:p w14:paraId="3AC1B15F"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контроль за соблюдением сроков представления авансовых отчетов подотчетными лицами, соблюдения запрета на выдачу подотчетных сумм работникам, имеющим задолженность по ранее выданным авансам;</w:t>
      </w:r>
    </w:p>
    <w:p w14:paraId="33BE6959"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shd w:val="clear" w:color="auto" w:fill="FFFFFF"/>
          <w:lang w:eastAsia="ru-RU"/>
        </w:rPr>
        <w:t>3) Последующий контроль – комплекс процедур и мероприятий, направленных на предотвращение ошибочных и (или) незаконных действий и недостатков после совершения финансово-хозяйственной операции (ряда финансово-хозяйственных операций):</w:t>
      </w:r>
    </w:p>
    <w:p w14:paraId="2ADC3B06"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shd w:val="clear" w:color="auto" w:fill="FFFFFF"/>
          <w:lang w:eastAsia="ru-RU"/>
        </w:rPr>
        <w:t>сверка остатков денежных средств на лицевых счетах в Министерстве финансов Свердловской области (далее Минфин), числящихся по данным регистров учета, с данными выписок из лицевых счетов Минфина;</w:t>
      </w:r>
    </w:p>
    <w:p w14:paraId="5DD117CA"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shd w:val="clear" w:color="auto" w:fill="FFFFFF"/>
          <w:lang w:eastAsia="ru-RU"/>
        </w:rPr>
        <w:t>проверка первичных учетных документов после совершения хозяйственных операций;</w:t>
      </w:r>
    </w:p>
    <w:p w14:paraId="398A8C94"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shd w:val="clear" w:color="auto" w:fill="FFFFFF"/>
          <w:lang w:eastAsia="ru-RU"/>
        </w:rPr>
        <w:t xml:space="preserve">сверка начисленной заработной платы и выплаченной заработной платы по реестрам в банк; </w:t>
      </w:r>
    </w:p>
    <w:p w14:paraId="133FEEB2"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shd w:val="clear" w:color="auto" w:fill="FFFFFF"/>
          <w:lang w:eastAsia="ru-RU"/>
        </w:rPr>
        <w:t>анализ дебиторской и кредиторской задолженности;</w:t>
      </w:r>
    </w:p>
    <w:p w14:paraId="16B4EFD8"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shd w:val="clear" w:color="auto" w:fill="FFFFFF"/>
          <w:lang w:eastAsia="ru-RU"/>
        </w:rPr>
        <w:t xml:space="preserve">анализ исполнения сметы расходов; </w:t>
      </w:r>
    </w:p>
    <w:p w14:paraId="3661E864"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shd w:val="clear" w:color="auto" w:fill="FFFFFF"/>
          <w:lang w:eastAsia="ru-RU"/>
        </w:rPr>
        <w:t>составление актов сверки с контрагентами;</w:t>
      </w:r>
    </w:p>
    <w:p w14:paraId="651D23A3"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shd w:val="clear" w:color="auto" w:fill="FFFFFF"/>
          <w:lang w:eastAsia="ru-RU"/>
        </w:rPr>
        <w:t>сверка с налоговым органом, внебюджетными фондами.</w:t>
      </w:r>
    </w:p>
    <w:p w14:paraId="29ECFFDB"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shd w:val="clear" w:color="auto" w:fill="FFFFFF"/>
          <w:lang w:eastAsia="ru-RU"/>
        </w:rPr>
        <w:t>Внутренний государственный финансовый контроль осуществляется Министерством финансов Свердловской области на этапе санкционирования расходов.</w:t>
      </w:r>
    </w:p>
    <w:p w14:paraId="04202DA8"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В отчетном периоде контрольно-ревизионным отделом Министерства социальной политики Свердловской области проверки не проводились.</w:t>
      </w:r>
    </w:p>
    <w:p w14:paraId="6184493D" w14:textId="77777777" w:rsidR="002D237D" w:rsidRPr="002D237D" w:rsidRDefault="002D237D" w:rsidP="002D237D">
      <w:pPr>
        <w:autoSpaceDE w:val="0"/>
        <w:autoSpaceDN w:val="0"/>
        <w:adjustRightInd w:val="0"/>
        <w:spacing w:after="0" w:line="240" w:lineRule="auto"/>
        <w:ind w:firstLine="6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Отделом бухгалтерского учета и отчетности Министерства социальной политики Свердловской области в отчетном периоде проверки не проводились.</w:t>
      </w:r>
    </w:p>
    <w:p w14:paraId="2AFAA6BE"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В отчетном периоде мероприятий органов государственного финансового контроля по внутреннему контролю за соблюдением требований законодательства Российской Федерации и Свердловской области не было, в том числе Министерством финансов Свердловской области.</w:t>
      </w:r>
    </w:p>
    <w:p w14:paraId="6CDB8AFB"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В отчетном периоде мероприятий контрольно-счетных органов по внешнему государственному финансовому контролю за соблюдением требований законодательства Российской Федерации и Свердловской области не было, в том числе Счетной палатой Свердловской области.</w:t>
      </w:r>
    </w:p>
    <w:p w14:paraId="3D6FB5B8"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shd w:val="clear" w:color="auto" w:fill="FFFFFF"/>
          <w:lang w:eastAsia="ru-RU"/>
        </w:rPr>
        <w:t>        Судебные решения по денежным обязательствам отсутствуют.</w:t>
      </w:r>
    </w:p>
    <w:p w14:paraId="019B3B79"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Специалистами отдела мер социальной поддержки ведется планомерная работа для восстановления необоснованно выплаченных сумм. О возникших переплатах граждане уведомляются своевременно, им предлагается добровольное возмещение и устанавливается срок возмещения переплаты. В случае отказа добровольного возмещения Управление обращается в Суд с иском о взыскании суммы переплаты в установленном действующим законодательством порядке.</w:t>
      </w:r>
    </w:p>
    <w:p w14:paraId="3B454C73"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xml:space="preserve">За период с 01 января 2015 года по 01 января 2020 года выявлено и поставлено на учет 151 переплаты на сумму 770125,12 руб. По состоянию на 01 </w:t>
      </w:r>
    </w:p>
    <w:p w14:paraId="6C92BA28" w14:textId="77777777" w:rsidR="002D237D" w:rsidRPr="002D237D" w:rsidRDefault="002D237D" w:rsidP="002D237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января 2020 года остаток задолженности составляет 94414,23 руб.</w:t>
      </w:r>
    </w:p>
    <w:p w14:paraId="53FC88CA"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w:t>
      </w:r>
      <w:r w:rsidRPr="002D237D">
        <w:rPr>
          <w:rFonts w:ascii="Microsoft Sans Serif" w:eastAsia="Times New Roman" w:hAnsi="Microsoft Sans Serif" w:cs="Microsoft Sans Serif"/>
          <w:b/>
          <w:bCs/>
          <w:color w:val="000000"/>
          <w:sz w:val="28"/>
          <w:szCs w:val="28"/>
          <w:lang w:eastAsia="ru-RU"/>
        </w:rPr>
        <w:t>  </w:t>
      </w:r>
    </w:p>
    <w:p w14:paraId="1A189BC1" w14:textId="77777777" w:rsidR="002D237D" w:rsidRPr="002D237D" w:rsidRDefault="002D237D" w:rsidP="002D237D">
      <w:pPr>
        <w:autoSpaceDE w:val="0"/>
        <w:autoSpaceDN w:val="0"/>
        <w:adjustRightInd w:val="0"/>
        <w:spacing w:after="0" w:line="240" w:lineRule="auto"/>
        <w:ind w:firstLine="700"/>
        <w:jc w:val="center"/>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Перечень форм отчетности, не включенных в состав бюджетной отчетности, ввиду отсутствия числового значения всех показателей:</w:t>
      </w:r>
    </w:p>
    <w:p w14:paraId="3D1C03F2" w14:textId="77777777" w:rsidR="002D237D" w:rsidRPr="002D237D" w:rsidRDefault="002D237D" w:rsidP="002D237D">
      <w:pPr>
        <w:autoSpaceDE w:val="0"/>
        <w:autoSpaceDN w:val="0"/>
        <w:adjustRightInd w:val="0"/>
        <w:spacing w:after="0" w:line="240" w:lineRule="auto"/>
        <w:ind w:firstLine="700"/>
        <w:jc w:val="center"/>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w:t>
      </w:r>
    </w:p>
    <w:p w14:paraId="76D023AB" w14:textId="77777777" w:rsidR="002D237D" w:rsidRPr="002D237D" w:rsidRDefault="002D237D" w:rsidP="002D237D">
      <w:pPr>
        <w:autoSpaceDE w:val="0"/>
        <w:autoSpaceDN w:val="0"/>
        <w:adjustRightInd w:val="0"/>
        <w:spacing w:after="0" w:line="240" w:lineRule="auto"/>
        <w:ind w:firstLine="700"/>
        <w:jc w:val="center"/>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b/>
          <w:bCs/>
          <w:color w:val="000000"/>
          <w:sz w:val="28"/>
          <w:szCs w:val="28"/>
          <w:lang w:eastAsia="ru-RU"/>
        </w:rPr>
        <w:t>Перечень форм отчетности, не включенных в состав бюджетной отчетности, ввиду отсутствия числового значения всех показателей:</w:t>
      </w:r>
    </w:p>
    <w:p w14:paraId="29F53F46"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b/>
          <w:bCs/>
          <w:color w:val="000000"/>
          <w:sz w:val="28"/>
          <w:szCs w:val="28"/>
          <w:lang w:eastAsia="ru-RU"/>
        </w:rPr>
        <w:t> </w:t>
      </w:r>
    </w:p>
    <w:p w14:paraId="4089267D" w14:textId="77777777" w:rsidR="002D237D" w:rsidRPr="002D237D" w:rsidRDefault="002D237D" w:rsidP="002D237D">
      <w:pPr>
        <w:numPr>
          <w:ilvl w:val="0"/>
          <w:numId w:val="5"/>
        </w:numPr>
        <w:autoSpaceDE w:val="0"/>
        <w:autoSpaceDN w:val="0"/>
        <w:adjustRightInd w:val="0"/>
        <w:spacing w:after="0" w:line="240" w:lineRule="auto"/>
        <w:ind w:left="1280"/>
        <w:jc w:val="both"/>
        <w:rPr>
          <w:rFonts w:ascii="Wingdings" w:eastAsia="Times New Roman" w:hAnsi="Wingdings" w:cs="Wingdings"/>
          <w:color w:val="000000"/>
          <w:sz w:val="28"/>
          <w:szCs w:val="28"/>
          <w:lang w:eastAsia="ru-RU"/>
        </w:rPr>
      </w:pPr>
      <w:r w:rsidRPr="002D237D">
        <w:rPr>
          <w:rFonts w:ascii="Microsoft Sans Serif" w:eastAsia="Times New Roman" w:hAnsi="Microsoft Sans Serif" w:cs="Microsoft Sans Serif"/>
          <w:color w:val="000000"/>
          <w:sz w:val="28"/>
          <w:szCs w:val="28"/>
          <w:lang w:eastAsia="ru-RU"/>
        </w:rPr>
        <w:t>Сведения об исполнении мероприятий в рамках целевых программ (ф. 0503166);</w:t>
      </w:r>
    </w:p>
    <w:p w14:paraId="68965CE1" w14:textId="77777777" w:rsidR="002D237D" w:rsidRPr="002D237D" w:rsidRDefault="002D237D" w:rsidP="002D237D">
      <w:pPr>
        <w:numPr>
          <w:ilvl w:val="0"/>
          <w:numId w:val="5"/>
        </w:numPr>
        <w:autoSpaceDE w:val="0"/>
        <w:autoSpaceDN w:val="0"/>
        <w:adjustRightInd w:val="0"/>
        <w:spacing w:after="0" w:line="240" w:lineRule="auto"/>
        <w:ind w:left="1280"/>
        <w:jc w:val="both"/>
        <w:rPr>
          <w:rFonts w:ascii="Wingdings" w:eastAsia="Times New Roman" w:hAnsi="Wingdings" w:cs="Wingdings"/>
          <w:color w:val="000000"/>
          <w:sz w:val="28"/>
          <w:szCs w:val="28"/>
          <w:lang w:eastAsia="ru-RU"/>
        </w:rPr>
      </w:pPr>
      <w:r w:rsidRPr="002D237D">
        <w:rPr>
          <w:rFonts w:ascii="Microsoft Sans Serif" w:eastAsia="Times New Roman" w:hAnsi="Microsoft Sans Serif" w:cs="Microsoft Sans Serif"/>
          <w:color w:val="000000"/>
          <w:sz w:val="28"/>
          <w:szCs w:val="28"/>
          <w:lang w:eastAsia="ru-RU"/>
        </w:rPr>
        <w:t>Сведения о целевых иностранных кредитах (ф.0503167);</w:t>
      </w:r>
    </w:p>
    <w:p w14:paraId="6B760AEA" w14:textId="77777777" w:rsidR="002D237D" w:rsidRPr="002D237D" w:rsidRDefault="002D237D" w:rsidP="002D237D">
      <w:pPr>
        <w:numPr>
          <w:ilvl w:val="0"/>
          <w:numId w:val="5"/>
        </w:numPr>
        <w:autoSpaceDE w:val="0"/>
        <w:autoSpaceDN w:val="0"/>
        <w:adjustRightInd w:val="0"/>
        <w:spacing w:after="0" w:line="240" w:lineRule="auto"/>
        <w:ind w:left="1280"/>
        <w:jc w:val="both"/>
        <w:rPr>
          <w:rFonts w:ascii="Wingdings" w:eastAsia="Times New Roman" w:hAnsi="Wingdings" w:cs="Wingdings"/>
          <w:color w:val="000000"/>
          <w:sz w:val="28"/>
          <w:szCs w:val="28"/>
          <w:lang w:eastAsia="ru-RU"/>
        </w:rPr>
      </w:pPr>
      <w:r w:rsidRPr="002D237D">
        <w:rPr>
          <w:rFonts w:ascii="Microsoft Sans Serif" w:eastAsia="Times New Roman" w:hAnsi="Microsoft Sans Serif" w:cs="Microsoft Sans Serif"/>
          <w:color w:val="000000"/>
          <w:sz w:val="28"/>
          <w:szCs w:val="28"/>
          <w:lang w:eastAsia="ru-RU"/>
        </w:rPr>
        <w:t>Сведения о финансовых вложениях получателя бюджетных средств, администратора источников финансирования дефицита бюджета (ф. 0503171);</w:t>
      </w:r>
    </w:p>
    <w:p w14:paraId="2A8D916B" w14:textId="77777777" w:rsidR="002D237D" w:rsidRPr="002D237D" w:rsidRDefault="002D237D" w:rsidP="002D237D">
      <w:pPr>
        <w:numPr>
          <w:ilvl w:val="0"/>
          <w:numId w:val="5"/>
        </w:numPr>
        <w:autoSpaceDE w:val="0"/>
        <w:autoSpaceDN w:val="0"/>
        <w:adjustRightInd w:val="0"/>
        <w:spacing w:after="0" w:line="240" w:lineRule="auto"/>
        <w:ind w:left="1280"/>
        <w:jc w:val="both"/>
        <w:rPr>
          <w:rFonts w:ascii="Wingdings" w:eastAsia="Times New Roman" w:hAnsi="Wingdings" w:cs="Wingdings"/>
          <w:color w:val="000000"/>
          <w:sz w:val="28"/>
          <w:szCs w:val="28"/>
          <w:lang w:eastAsia="ru-RU"/>
        </w:rPr>
      </w:pPr>
      <w:r w:rsidRPr="002D237D">
        <w:rPr>
          <w:rFonts w:ascii="Microsoft Sans Serif" w:eastAsia="Times New Roman" w:hAnsi="Microsoft Sans Serif" w:cs="Microsoft Sans Serif"/>
          <w:color w:val="000000"/>
          <w:sz w:val="28"/>
          <w:szCs w:val="28"/>
          <w:lang w:eastAsia="ru-RU"/>
        </w:rPr>
        <w:t>Сведения о государственном (муниципальном) долге (ф. 0503172);</w:t>
      </w:r>
    </w:p>
    <w:p w14:paraId="14108A9E" w14:textId="77777777" w:rsidR="002D237D" w:rsidRPr="002D237D" w:rsidRDefault="002D237D" w:rsidP="002D237D">
      <w:pPr>
        <w:numPr>
          <w:ilvl w:val="0"/>
          <w:numId w:val="5"/>
        </w:numPr>
        <w:autoSpaceDE w:val="0"/>
        <w:autoSpaceDN w:val="0"/>
        <w:adjustRightInd w:val="0"/>
        <w:spacing w:after="0" w:line="240" w:lineRule="auto"/>
        <w:ind w:left="1280"/>
        <w:jc w:val="both"/>
        <w:rPr>
          <w:rFonts w:ascii="Wingdings" w:eastAsia="Times New Roman" w:hAnsi="Wingdings" w:cs="Wingdings"/>
          <w:color w:val="000000"/>
          <w:sz w:val="28"/>
          <w:szCs w:val="28"/>
          <w:lang w:eastAsia="ru-RU"/>
        </w:rPr>
      </w:pPr>
      <w:r w:rsidRPr="002D237D">
        <w:rPr>
          <w:rFonts w:ascii="Microsoft Sans Serif" w:eastAsia="Times New Roman" w:hAnsi="Microsoft Sans Serif" w:cs="Microsoft Sans Serif"/>
          <w:color w:val="000000"/>
          <w:sz w:val="28"/>
          <w:szCs w:val="28"/>
          <w:lang w:eastAsia="ru-RU"/>
        </w:rPr>
        <w:t xml:space="preserve">Сведения об изменении остатков валюты баланса </w:t>
      </w:r>
      <w:r w:rsidRPr="002D237D">
        <w:rPr>
          <w:rFonts w:ascii="Microsoft Sans Serif" w:eastAsia="Times New Roman" w:hAnsi="Microsoft Sans Serif" w:cs="Microsoft Sans Serif"/>
          <w:color w:val="000000"/>
          <w:sz w:val="28"/>
          <w:szCs w:val="28"/>
          <w:u w:val="single"/>
          <w:lang w:eastAsia="ru-RU"/>
        </w:rPr>
        <w:t>(ф. 0503173)</w:t>
      </w:r>
    </w:p>
    <w:p w14:paraId="59A29395" w14:textId="77777777" w:rsidR="002D237D" w:rsidRPr="002D237D" w:rsidRDefault="002D237D" w:rsidP="002D237D">
      <w:pPr>
        <w:numPr>
          <w:ilvl w:val="0"/>
          <w:numId w:val="5"/>
        </w:numPr>
        <w:autoSpaceDE w:val="0"/>
        <w:autoSpaceDN w:val="0"/>
        <w:adjustRightInd w:val="0"/>
        <w:spacing w:after="0" w:line="240" w:lineRule="auto"/>
        <w:ind w:left="1280"/>
        <w:jc w:val="both"/>
        <w:rPr>
          <w:rFonts w:ascii="Wingdings" w:eastAsia="Times New Roman" w:hAnsi="Wingdings" w:cs="Wingdings"/>
          <w:color w:val="000000"/>
          <w:sz w:val="28"/>
          <w:szCs w:val="28"/>
          <w:lang w:eastAsia="ru-RU"/>
        </w:rPr>
      </w:pPr>
      <w:r w:rsidRPr="002D237D">
        <w:rPr>
          <w:rFonts w:ascii="Microsoft Sans Serif" w:eastAsia="Times New Roman" w:hAnsi="Microsoft Sans Serif" w:cs="Microsoft Sans Serif"/>
          <w:color w:val="000000"/>
          <w:sz w:val="28"/>
          <w:szCs w:val="28"/>
          <w:lang w:eastAsia="ru-RU"/>
        </w:rPr>
        <w:t xml:space="preserve">Сведения об изменении остатков валюты баланса </w:t>
      </w:r>
      <w:r w:rsidRPr="002D237D">
        <w:rPr>
          <w:rFonts w:ascii="Microsoft Sans Serif" w:eastAsia="Times New Roman" w:hAnsi="Microsoft Sans Serif" w:cs="Microsoft Sans Serif"/>
          <w:color w:val="000000"/>
          <w:sz w:val="28"/>
          <w:szCs w:val="28"/>
          <w:u w:val="single"/>
          <w:lang w:eastAsia="ru-RU"/>
        </w:rPr>
        <w:t>(ф. 0503173)</w:t>
      </w:r>
      <w:r w:rsidRPr="002D237D">
        <w:rPr>
          <w:rFonts w:ascii="Microsoft Sans Serif" w:eastAsia="Times New Roman" w:hAnsi="Microsoft Sans Serif" w:cs="Microsoft Sans Serif"/>
          <w:color w:val="000000"/>
          <w:sz w:val="28"/>
          <w:szCs w:val="28"/>
          <w:lang w:eastAsia="ru-RU"/>
        </w:rPr>
        <w:t xml:space="preserve"> – средства во временном распоряжении;</w:t>
      </w:r>
    </w:p>
    <w:p w14:paraId="4D04A035" w14:textId="77777777" w:rsidR="002D237D" w:rsidRPr="002D237D" w:rsidRDefault="002D237D" w:rsidP="002D237D">
      <w:pPr>
        <w:numPr>
          <w:ilvl w:val="0"/>
          <w:numId w:val="5"/>
        </w:numPr>
        <w:autoSpaceDE w:val="0"/>
        <w:autoSpaceDN w:val="0"/>
        <w:adjustRightInd w:val="0"/>
        <w:spacing w:after="0" w:line="240" w:lineRule="auto"/>
        <w:ind w:left="1280"/>
        <w:jc w:val="both"/>
        <w:rPr>
          <w:rFonts w:ascii="Wingdings" w:eastAsia="Times New Roman" w:hAnsi="Wingdings" w:cs="Wingdings"/>
          <w:color w:val="000000"/>
          <w:sz w:val="28"/>
          <w:szCs w:val="28"/>
          <w:lang w:eastAsia="ru-RU"/>
        </w:rPr>
      </w:pPr>
      <w:r w:rsidRPr="002D237D">
        <w:rPr>
          <w:rFonts w:ascii="Microsoft Sans Serif" w:eastAsia="Times New Roman" w:hAnsi="Microsoft Sans Serif" w:cs="Microsoft Sans Serif"/>
          <w:color w:val="000000"/>
          <w:sz w:val="28"/>
          <w:szCs w:val="28"/>
          <w:lang w:eastAsia="ru-RU"/>
        </w:rPr>
        <w:t>Сведения о доходах бюджета от перечисления части прибыли (дивидендов) государственных (муниципальных) унитарных предприятий, иных организаций с государственным участием в капитале</w:t>
      </w:r>
      <w:r w:rsidRPr="002D237D">
        <w:rPr>
          <w:rFonts w:ascii="Microsoft Sans Serif" w:eastAsia="Times New Roman" w:hAnsi="Microsoft Sans Serif" w:cs="Microsoft Sans Serif"/>
          <w:color w:val="000000"/>
          <w:sz w:val="28"/>
          <w:szCs w:val="28"/>
          <w:u w:val="single"/>
          <w:lang w:eastAsia="ru-RU"/>
        </w:rPr>
        <w:t>(ф. 0503174)</w:t>
      </w:r>
      <w:r w:rsidRPr="002D237D">
        <w:rPr>
          <w:rFonts w:ascii="Microsoft Sans Serif" w:eastAsia="Times New Roman" w:hAnsi="Microsoft Sans Serif" w:cs="Microsoft Sans Serif"/>
          <w:color w:val="000000"/>
          <w:sz w:val="28"/>
          <w:szCs w:val="28"/>
          <w:lang w:eastAsia="ru-RU"/>
        </w:rPr>
        <w:t>;</w:t>
      </w:r>
    </w:p>
    <w:p w14:paraId="4582EC5E" w14:textId="77777777" w:rsidR="002D237D" w:rsidRPr="002D237D" w:rsidRDefault="002D237D" w:rsidP="002D237D">
      <w:pPr>
        <w:numPr>
          <w:ilvl w:val="0"/>
          <w:numId w:val="5"/>
        </w:numPr>
        <w:autoSpaceDE w:val="0"/>
        <w:autoSpaceDN w:val="0"/>
        <w:adjustRightInd w:val="0"/>
        <w:spacing w:after="0" w:line="240" w:lineRule="auto"/>
        <w:ind w:left="1280"/>
        <w:jc w:val="both"/>
        <w:rPr>
          <w:rFonts w:ascii="Wingdings" w:eastAsia="Times New Roman" w:hAnsi="Wingdings" w:cs="Wingdings"/>
          <w:color w:val="000000"/>
          <w:sz w:val="28"/>
          <w:szCs w:val="28"/>
          <w:lang w:eastAsia="ru-RU"/>
        </w:rPr>
      </w:pPr>
      <w:r w:rsidRPr="002D237D">
        <w:rPr>
          <w:rFonts w:ascii="Microsoft Sans Serif" w:eastAsia="Times New Roman" w:hAnsi="Microsoft Sans Serif" w:cs="Microsoft Sans Serif"/>
          <w:color w:val="000000"/>
          <w:sz w:val="28"/>
          <w:szCs w:val="28"/>
          <w:lang w:eastAsia="ru-RU"/>
        </w:rPr>
        <w:t xml:space="preserve">Сведения об остатках денежных средств на счетах получателя бюджетных средств </w:t>
      </w:r>
      <w:r w:rsidRPr="002D237D">
        <w:rPr>
          <w:rFonts w:ascii="Microsoft Sans Serif" w:eastAsia="Times New Roman" w:hAnsi="Microsoft Sans Serif" w:cs="Microsoft Sans Serif"/>
          <w:color w:val="000000"/>
          <w:sz w:val="28"/>
          <w:szCs w:val="28"/>
          <w:u w:val="single"/>
          <w:lang w:eastAsia="ru-RU"/>
        </w:rPr>
        <w:t>(ф. 0503178)</w:t>
      </w:r>
      <w:r w:rsidRPr="002D237D">
        <w:rPr>
          <w:rFonts w:ascii="Microsoft Sans Serif" w:eastAsia="Times New Roman" w:hAnsi="Microsoft Sans Serif" w:cs="Microsoft Sans Serif"/>
          <w:color w:val="000000"/>
          <w:sz w:val="28"/>
          <w:szCs w:val="28"/>
          <w:lang w:eastAsia="ru-RU"/>
        </w:rPr>
        <w:t>;</w:t>
      </w:r>
    </w:p>
    <w:p w14:paraId="4AB2A731" w14:textId="77777777" w:rsidR="002D237D" w:rsidRPr="002D237D" w:rsidRDefault="002D237D" w:rsidP="002D237D">
      <w:pPr>
        <w:numPr>
          <w:ilvl w:val="0"/>
          <w:numId w:val="5"/>
        </w:numPr>
        <w:autoSpaceDE w:val="0"/>
        <w:autoSpaceDN w:val="0"/>
        <w:adjustRightInd w:val="0"/>
        <w:spacing w:after="0" w:line="240" w:lineRule="auto"/>
        <w:ind w:left="1280"/>
        <w:jc w:val="both"/>
        <w:rPr>
          <w:rFonts w:ascii="Wingdings" w:eastAsia="Times New Roman" w:hAnsi="Wingdings" w:cs="Wingdings"/>
          <w:color w:val="000000"/>
          <w:sz w:val="28"/>
          <w:szCs w:val="28"/>
          <w:lang w:eastAsia="ru-RU"/>
        </w:rPr>
      </w:pPr>
      <w:r w:rsidRPr="002D237D">
        <w:rPr>
          <w:rFonts w:ascii="Microsoft Sans Serif" w:eastAsia="Times New Roman" w:hAnsi="Microsoft Sans Serif" w:cs="Microsoft Sans Serif"/>
          <w:color w:val="000000"/>
          <w:sz w:val="28"/>
          <w:szCs w:val="28"/>
          <w:lang w:eastAsia="ru-RU"/>
        </w:rPr>
        <w:t xml:space="preserve">Сведения о вложениях в объекты недвижимого имущества, объектах незавершенного строительства </w:t>
      </w:r>
      <w:r w:rsidRPr="002D237D">
        <w:rPr>
          <w:rFonts w:ascii="Microsoft Sans Serif" w:eastAsia="Times New Roman" w:hAnsi="Microsoft Sans Serif" w:cs="Microsoft Sans Serif"/>
          <w:color w:val="000000"/>
          <w:sz w:val="28"/>
          <w:szCs w:val="28"/>
          <w:u w:val="single"/>
          <w:lang w:eastAsia="ru-RU"/>
        </w:rPr>
        <w:t>(ф. 0503190)</w:t>
      </w:r>
      <w:r w:rsidRPr="002D237D">
        <w:rPr>
          <w:rFonts w:ascii="Microsoft Sans Serif" w:eastAsia="Times New Roman" w:hAnsi="Microsoft Sans Serif" w:cs="Microsoft Sans Serif"/>
          <w:color w:val="000000"/>
          <w:sz w:val="28"/>
          <w:szCs w:val="28"/>
          <w:lang w:eastAsia="ru-RU"/>
        </w:rPr>
        <w:t>;</w:t>
      </w:r>
    </w:p>
    <w:p w14:paraId="42C4E2DC" w14:textId="77777777" w:rsidR="002D237D" w:rsidRPr="002D237D" w:rsidRDefault="002D237D" w:rsidP="002D237D">
      <w:pPr>
        <w:numPr>
          <w:ilvl w:val="0"/>
          <w:numId w:val="5"/>
        </w:numPr>
        <w:autoSpaceDE w:val="0"/>
        <w:autoSpaceDN w:val="0"/>
        <w:adjustRightInd w:val="0"/>
        <w:spacing w:after="0" w:line="240" w:lineRule="auto"/>
        <w:ind w:left="1280"/>
        <w:jc w:val="both"/>
        <w:rPr>
          <w:rFonts w:ascii="Wingdings" w:eastAsia="Times New Roman" w:hAnsi="Wingdings" w:cs="Wingdings"/>
          <w:color w:val="000000"/>
          <w:sz w:val="28"/>
          <w:szCs w:val="28"/>
          <w:lang w:eastAsia="ru-RU"/>
        </w:rPr>
      </w:pPr>
      <w:r w:rsidRPr="002D237D">
        <w:rPr>
          <w:rFonts w:ascii="Microsoft Sans Serif" w:eastAsia="Times New Roman" w:hAnsi="Microsoft Sans Serif" w:cs="Microsoft Sans Serif"/>
          <w:color w:val="000000"/>
          <w:sz w:val="28"/>
          <w:szCs w:val="28"/>
          <w:lang w:eastAsia="ru-RU"/>
        </w:rPr>
        <w:t>Сведения о результатах мероприятий внутреннего государственного (муниципального) финансового контроля</w:t>
      </w:r>
      <w:r w:rsidRPr="002D237D">
        <w:rPr>
          <w:rFonts w:ascii="Microsoft Sans Serif" w:eastAsia="Times New Roman" w:hAnsi="Microsoft Sans Serif" w:cs="Microsoft Sans Serif"/>
          <w:color w:val="000000"/>
          <w:sz w:val="28"/>
          <w:szCs w:val="28"/>
          <w:u w:val="single"/>
          <w:lang w:eastAsia="ru-RU"/>
        </w:rPr>
        <w:t>(таблица № 5)</w:t>
      </w:r>
      <w:r w:rsidRPr="002D237D">
        <w:rPr>
          <w:rFonts w:ascii="Microsoft Sans Serif" w:eastAsia="Times New Roman" w:hAnsi="Microsoft Sans Serif" w:cs="Microsoft Sans Serif"/>
          <w:color w:val="000000"/>
          <w:sz w:val="28"/>
          <w:szCs w:val="28"/>
          <w:lang w:eastAsia="ru-RU"/>
        </w:rPr>
        <w:t>;</w:t>
      </w:r>
    </w:p>
    <w:p w14:paraId="163FE685" w14:textId="77777777" w:rsidR="002D237D" w:rsidRPr="002D237D" w:rsidRDefault="002D237D" w:rsidP="002D237D">
      <w:pPr>
        <w:numPr>
          <w:ilvl w:val="0"/>
          <w:numId w:val="5"/>
        </w:numPr>
        <w:autoSpaceDE w:val="0"/>
        <w:autoSpaceDN w:val="0"/>
        <w:adjustRightInd w:val="0"/>
        <w:spacing w:after="0" w:line="240" w:lineRule="auto"/>
        <w:ind w:left="1280"/>
        <w:jc w:val="both"/>
        <w:rPr>
          <w:rFonts w:ascii="Wingdings" w:eastAsia="Times New Roman" w:hAnsi="Wingdings" w:cs="Wingdings"/>
          <w:color w:val="000000"/>
          <w:sz w:val="28"/>
          <w:szCs w:val="28"/>
          <w:lang w:eastAsia="ru-RU"/>
        </w:rPr>
      </w:pPr>
      <w:r w:rsidRPr="002D237D">
        <w:rPr>
          <w:rFonts w:ascii="Microsoft Sans Serif" w:eastAsia="Times New Roman" w:hAnsi="Microsoft Sans Serif" w:cs="Microsoft Sans Serif"/>
          <w:color w:val="000000"/>
          <w:sz w:val="28"/>
          <w:szCs w:val="28"/>
          <w:lang w:eastAsia="ru-RU"/>
        </w:rPr>
        <w:t xml:space="preserve">Сведения о проведении инвентаризаций </w:t>
      </w:r>
      <w:r w:rsidRPr="002D237D">
        <w:rPr>
          <w:rFonts w:ascii="Microsoft Sans Serif" w:eastAsia="Times New Roman" w:hAnsi="Microsoft Sans Serif" w:cs="Microsoft Sans Serif"/>
          <w:color w:val="000000"/>
          <w:sz w:val="28"/>
          <w:szCs w:val="28"/>
          <w:u w:val="single"/>
          <w:lang w:eastAsia="ru-RU"/>
        </w:rPr>
        <w:t>(таблица № 6)</w:t>
      </w:r>
      <w:r w:rsidRPr="002D237D">
        <w:rPr>
          <w:rFonts w:ascii="Microsoft Sans Serif" w:eastAsia="Times New Roman" w:hAnsi="Microsoft Sans Serif" w:cs="Microsoft Sans Serif"/>
          <w:color w:val="000000"/>
          <w:sz w:val="28"/>
          <w:szCs w:val="28"/>
          <w:lang w:eastAsia="ru-RU"/>
        </w:rPr>
        <w:t>;</w:t>
      </w:r>
    </w:p>
    <w:p w14:paraId="2C7B3291" w14:textId="77777777" w:rsidR="002D237D" w:rsidRPr="002D237D" w:rsidRDefault="002D237D" w:rsidP="002D237D">
      <w:pPr>
        <w:numPr>
          <w:ilvl w:val="0"/>
          <w:numId w:val="5"/>
        </w:numPr>
        <w:autoSpaceDE w:val="0"/>
        <w:autoSpaceDN w:val="0"/>
        <w:adjustRightInd w:val="0"/>
        <w:spacing w:after="0" w:line="240" w:lineRule="auto"/>
        <w:ind w:left="1280"/>
        <w:jc w:val="both"/>
        <w:rPr>
          <w:rFonts w:ascii="Wingdings" w:eastAsia="Times New Roman" w:hAnsi="Wingdings" w:cs="Wingdings"/>
          <w:color w:val="000000"/>
          <w:sz w:val="28"/>
          <w:szCs w:val="28"/>
          <w:lang w:eastAsia="ru-RU"/>
        </w:rPr>
      </w:pPr>
      <w:r w:rsidRPr="002D237D">
        <w:rPr>
          <w:rFonts w:ascii="Microsoft Sans Serif" w:eastAsia="Times New Roman" w:hAnsi="Microsoft Sans Serif" w:cs="Microsoft Sans Serif"/>
          <w:color w:val="000000"/>
          <w:sz w:val="28"/>
          <w:szCs w:val="28"/>
          <w:lang w:eastAsia="ru-RU"/>
        </w:rPr>
        <w:t xml:space="preserve">Сведения об исполнении судебных решений по денежным обязательствам бюджета </w:t>
      </w:r>
      <w:r w:rsidRPr="002D237D">
        <w:rPr>
          <w:rFonts w:ascii="Microsoft Sans Serif" w:eastAsia="Times New Roman" w:hAnsi="Microsoft Sans Serif" w:cs="Microsoft Sans Serif"/>
          <w:color w:val="000000"/>
          <w:sz w:val="28"/>
          <w:szCs w:val="28"/>
          <w:u w:val="single"/>
          <w:lang w:eastAsia="ru-RU"/>
        </w:rPr>
        <w:t>(ф. 0503296)</w:t>
      </w:r>
      <w:r w:rsidRPr="002D237D">
        <w:rPr>
          <w:rFonts w:ascii="Microsoft Sans Serif" w:eastAsia="Times New Roman" w:hAnsi="Microsoft Sans Serif" w:cs="Microsoft Sans Serif"/>
          <w:color w:val="000000"/>
          <w:sz w:val="28"/>
          <w:szCs w:val="28"/>
          <w:lang w:eastAsia="ru-RU"/>
        </w:rPr>
        <w:t>;</w:t>
      </w:r>
    </w:p>
    <w:p w14:paraId="0D4FABA3" w14:textId="77777777" w:rsidR="002D237D" w:rsidRPr="002D237D" w:rsidRDefault="002D237D" w:rsidP="002D237D">
      <w:pPr>
        <w:numPr>
          <w:ilvl w:val="0"/>
          <w:numId w:val="5"/>
        </w:numPr>
        <w:autoSpaceDE w:val="0"/>
        <w:autoSpaceDN w:val="0"/>
        <w:adjustRightInd w:val="0"/>
        <w:spacing w:after="0" w:line="240" w:lineRule="auto"/>
        <w:ind w:left="1280"/>
        <w:jc w:val="both"/>
        <w:rPr>
          <w:rFonts w:ascii="Wingdings" w:eastAsia="Times New Roman" w:hAnsi="Wingdings" w:cs="Wingdings"/>
          <w:color w:val="000000"/>
          <w:sz w:val="28"/>
          <w:szCs w:val="28"/>
          <w:lang w:eastAsia="ru-RU"/>
        </w:rPr>
      </w:pPr>
      <w:r w:rsidRPr="002D237D">
        <w:rPr>
          <w:rFonts w:ascii="Microsoft Sans Serif" w:eastAsia="Times New Roman" w:hAnsi="Microsoft Sans Serif" w:cs="Microsoft Sans Serif"/>
          <w:color w:val="000000"/>
          <w:sz w:val="28"/>
          <w:szCs w:val="28"/>
          <w:lang w:eastAsia="ru-RU"/>
        </w:rPr>
        <w:t xml:space="preserve">Сведения о результатах внешнего государственного (муниципального) финансового контроля </w:t>
      </w:r>
      <w:r w:rsidRPr="002D237D">
        <w:rPr>
          <w:rFonts w:ascii="Microsoft Sans Serif" w:eastAsia="Times New Roman" w:hAnsi="Microsoft Sans Serif" w:cs="Microsoft Sans Serif"/>
          <w:color w:val="000000"/>
          <w:sz w:val="28"/>
          <w:szCs w:val="28"/>
          <w:u w:val="single"/>
          <w:lang w:eastAsia="ru-RU"/>
        </w:rPr>
        <w:t>(таблица № 7)</w:t>
      </w:r>
      <w:r w:rsidRPr="002D237D">
        <w:rPr>
          <w:rFonts w:ascii="Microsoft Sans Serif" w:eastAsia="Times New Roman" w:hAnsi="Microsoft Sans Serif" w:cs="Microsoft Sans Serif"/>
          <w:color w:val="000000"/>
          <w:sz w:val="28"/>
          <w:szCs w:val="28"/>
          <w:lang w:eastAsia="ru-RU"/>
        </w:rPr>
        <w:t>;</w:t>
      </w:r>
    </w:p>
    <w:p w14:paraId="44784037" w14:textId="77777777" w:rsidR="002D237D" w:rsidRPr="002D237D" w:rsidRDefault="002D237D" w:rsidP="002D237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 </w:t>
      </w:r>
    </w:p>
    <w:p w14:paraId="54445A11" w14:textId="77777777" w:rsidR="002D237D" w:rsidRPr="002D237D" w:rsidRDefault="002D237D" w:rsidP="002D237D">
      <w:pPr>
        <w:autoSpaceDE w:val="0"/>
        <w:autoSpaceDN w:val="0"/>
        <w:adjustRightInd w:val="0"/>
        <w:spacing w:after="0" w:line="240" w:lineRule="auto"/>
        <w:ind w:firstLine="700"/>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 </w:t>
      </w:r>
    </w:p>
    <w:p w14:paraId="5D402114"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 </w:t>
      </w:r>
    </w:p>
    <w:tbl>
      <w:tblPr>
        <w:tblW w:w="0" w:type="auto"/>
        <w:tblInd w:w="96" w:type="dxa"/>
        <w:tblCellMar>
          <w:left w:w="0" w:type="dxa"/>
          <w:right w:w="0" w:type="dxa"/>
        </w:tblCellMar>
        <w:tblLook w:val="0000" w:firstRow="0" w:lastRow="0" w:firstColumn="0" w:lastColumn="0" w:noHBand="0" w:noVBand="0"/>
      </w:tblPr>
      <w:tblGrid>
        <w:gridCol w:w="3469"/>
        <w:gridCol w:w="2455"/>
        <w:gridCol w:w="3669"/>
      </w:tblGrid>
      <w:tr w:rsidR="002D237D" w:rsidRPr="002D237D" w14:paraId="0FD76014" w14:textId="77777777">
        <w:tc>
          <w:tcPr>
            <w:tcW w:w="3570" w:type="dxa"/>
            <w:tcBorders>
              <w:top w:val="nil"/>
              <w:left w:val="nil"/>
              <w:bottom w:val="nil"/>
              <w:right w:val="nil"/>
            </w:tcBorders>
            <w:tcMar>
              <w:top w:w="0" w:type="dxa"/>
              <w:left w:w="108" w:type="dxa"/>
              <w:bottom w:w="0" w:type="dxa"/>
              <w:right w:w="108" w:type="dxa"/>
            </w:tcMar>
            <w:vAlign w:val="center"/>
          </w:tcPr>
          <w:p w14:paraId="0041F37B" w14:textId="77777777" w:rsidR="002D237D" w:rsidRPr="002D237D" w:rsidRDefault="002D237D" w:rsidP="002D237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Руководитель</w:t>
            </w:r>
          </w:p>
        </w:tc>
        <w:tc>
          <w:tcPr>
            <w:tcW w:w="2456" w:type="dxa"/>
            <w:tcBorders>
              <w:top w:val="nil"/>
              <w:left w:val="nil"/>
              <w:bottom w:val="nil"/>
              <w:right w:val="nil"/>
            </w:tcBorders>
            <w:tcMar>
              <w:top w:w="0" w:type="dxa"/>
              <w:left w:w="108" w:type="dxa"/>
              <w:bottom w:w="0" w:type="dxa"/>
              <w:right w:w="108" w:type="dxa"/>
            </w:tcMar>
            <w:vAlign w:val="center"/>
          </w:tcPr>
          <w:p w14:paraId="7D2668C8" w14:textId="77777777" w:rsidR="002D237D" w:rsidRPr="002D237D" w:rsidRDefault="002D237D" w:rsidP="002D237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______________</w:t>
            </w:r>
          </w:p>
        </w:tc>
        <w:tc>
          <w:tcPr>
            <w:tcW w:w="3717" w:type="dxa"/>
            <w:tcBorders>
              <w:top w:val="nil"/>
              <w:left w:val="nil"/>
              <w:bottom w:val="nil"/>
              <w:right w:val="nil"/>
            </w:tcBorders>
            <w:tcMar>
              <w:top w:w="0" w:type="dxa"/>
              <w:left w:w="108" w:type="dxa"/>
              <w:bottom w:w="0" w:type="dxa"/>
              <w:right w:w="108" w:type="dxa"/>
            </w:tcMar>
            <w:vAlign w:val="center"/>
          </w:tcPr>
          <w:p w14:paraId="458EBC37" w14:textId="77777777" w:rsidR="002D237D" w:rsidRPr="002D237D" w:rsidRDefault="002D237D" w:rsidP="002D237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Е.С.Алемасова</w:t>
            </w:r>
          </w:p>
        </w:tc>
      </w:tr>
      <w:tr w:rsidR="002D237D" w:rsidRPr="002D237D" w14:paraId="002C3AB3" w14:textId="77777777">
        <w:trPr>
          <w:trHeight w:val="280"/>
        </w:trPr>
        <w:tc>
          <w:tcPr>
            <w:tcW w:w="3570" w:type="dxa"/>
            <w:tcBorders>
              <w:top w:val="nil"/>
              <w:left w:val="nil"/>
              <w:bottom w:val="nil"/>
              <w:right w:val="nil"/>
            </w:tcBorders>
            <w:tcMar>
              <w:top w:w="0" w:type="dxa"/>
              <w:left w:w="108" w:type="dxa"/>
              <w:bottom w:w="0" w:type="dxa"/>
              <w:right w:w="108" w:type="dxa"/>
            </w:tcMar>
            <w:vAlign w:val="bottom"/>
          </w:tcPr>
          <w:p w14:paraId="548D876D" w14:textId="77777777" w:rsidR="002D237D" w:rsidRPr="002D237D" w:rsidRDefault="002D237D" w:rsidP="002D237D">
            <w:pPr>
              <w:autoSpaceDE w:val="0"/>
              <w:autoSpaceDN w:val="0"/>
              <w:adjustRightInd w:val="0"/>
              <w:spacing w:after="0" w:line="240" w:lineRule="auto"/>
              <w:ind w:firstLine="700"/>
              <w:jc w:val="center"/>
              <w:rPr>
                <w:rFonts w:ascii="Times New Roman" w:eastAsia="Times New Roman" w:hAnsi="Times New Roman" w:cs="Times New Roman"/>
                <w:sz w:val="24"/>
                <w:szCs w:val="24"/>
                <w:lang w:eastAsia="ru-RU"/>
              </w:rPr>
            </w:pPr>
            <w:r w:rsidRPr="002D237D">
              <w:rPr>
                <w:rFonts w:ascii="Calibri" w:eastAsia="Times New Roman" w:hAnsi="Calibri" w:cs="Calibri"/>
                <w:b/>
                <w:bCs/>
                <w:color w:val="000000"/>
                <w:sz w:val="16"/>
                <w:szCs w:val="16"/>
                <w:lang w:eastAsia="ru-RU"/>
              </w:rPr>
              <w:t> </w:t>
            </w:r>
          </w:p>
        </w:tc>
        <w:tc>
          <w:tcPr>
            <w:tcW w:w="2456" w:type="dxa"/>
            <w:tcBorders>
              <w:top w:val="nil"/>
              <w:left w:val="nil"/>
              <w:bottom w:val="nil"/>
              <w:right w:val="nil"/>
            </w:tcBorders>
            <w:tcMar>
              <w:top w:w="0" w:type="dxa"/>
              <w:left w:w="108" w:type="dxa"/>
              <w:bottom w:w="0" w:type="dxa"/>
              <w:right w:w="108" w:type="dxa"/>
            </w:tcMar>
            <w:vAlign w:val="center"/>
          </w:tcPr>
          <w:p w14:paraId="54914839" w14:textId="77777777" w:rsidR="002D237D" w:rsidRPr="002D237D" w:rsidRDefault="002D237D" w:rsidP="002D237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(подпись)</w:t>
            </w:r>
          </w:p>
        </w:tc>
        <w:tc>
          <w:tcPr>
            <w:tcW w:w="3717" w:type="dxa"/>
            <w:tcBorders>
              <w:top w:val="nil"/>
              <w:left w:val="nil"/>
              <w:bottom w:val="nil"/>
              <w:right w:val="nil"/>
            </w:tcBorders>
            <w:tcMar>
              <w:top w:w="0" w:type="dxa"/>
              <w:left w:w="108" w:type="dxa"/>
              <w:bottom w:w="0" w:type="dxa"/>
              <w:right w:w="108" w:type="dxa"/>
            </w:tcMar>
            <w:vAlign w:val="center"/>
          </w:tcPr>
          <w:p w14:paraId="648C9490" w14:textId="77777777" w:rsidR="002D237D" w:rsidRPr="002D237D" w:rsidRDefault="002D237D" w:rsidP="002D237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(расшифровка подписи)</w:t>
            </w:r>
          </w:p>
        </w:tc>
      </w:tr>
      <w:tr w:rsidR="002D237D" w:rsidRPr="002D237D" w14:paraId="6302E008" w14:textId="77777777">
        <w:trPr>
          <w:trHeight w:val="281"/>
        </w:trPr>
        <w:tc>
          <w:tcPr>
            <w:tcW w:w="9743" w:type="dxa"/>
            <w:gridSpan w:val="3"/>
            <w:tcBorders>
              <w:top w:val="nil"/>
              <w:left w:val="nil"/>
              <w:bottom w:val="nil"/>
              <w:right w:val="nil"/>
            </w:tcBorders>
            <w:tcMar>
              <w:top w:w="0" w:type="dxa"/>
              <w:left w:w="108" w:type="dxa"/>
              <w:bottom w:w="0" w:type="dxa"/>
              <w:right w:w="108" w:type="dxa"/>
            </w:tcMar>
            <w:vAlign w:val="bottom"/>
          </w:tcPr>
          <w:p w14:paraId="3BD48519" w14:textId="77777777" w:rsidR="002D237D" w:rsidRPr="002D237D" w:rsidRDefault="002D237D" w:rsidP="002D237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 </w:t>
            </w:r>
          </w:p>
        </w:tc>
      </w:tr>
      <w:tr w:rsidR="002D237D" w:rsidRPr="002D237D" w14:paraId="03A064F9" w14:textId="77777777">
        <w:trPr>
          <w:trHeight w:val="281"/>
        </w:trPr>
        <w:tc>
          <w:tcPr>
            <w:tcW w:w="3570" w:type="dxa"/>
            <w:tcBorders>
              <w:top w:val="nil"/>
              <w:left w:val="nil"/>
              <w:bottom w:val="nil"/>
              <w:right w:val="nil"/>
            </w:tcBorders>
            <w:tcMar>
              <w:top w:w="0" w:type="dxa"/>
              <w:left w:w="108" w:type="dxa"/>
              <w:bottom w:w="0" w:type="dxa"/>
              <w:right w:w="108" w:type="dxa"/>
            </w:tcMar>
            <w:vAlign w:val="center"/>
          </w:tcPr>
          <w:p w14:paraId="005973DE" w14:textId="77777777" w:rsidR="002D237D" w:rsidRPr="002D237D" w:rsidRDefault="002D237D" w:rsidP="002D237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Руководитель планово-</w:t>
            </w:r>
          </w:p>
        </w:tc>
        <w:tc>
          <w:tcPr>
            <w:tcW w:w="2456" w:type="dxa"/>
            <w:tcBorders>
              <w:top w:val="nil"/>
              <w:left w:val="nil"/>
              <w:bottom w:val="nil"/>
              <w:right w:val="nil"/>
            </w:tcBorders>
            <w:tcMar>
              <w:top w:w="0" w:type="dxa"/>
              <w:left w:w="108" w:type="dxa"/>
              <w:bottom w:w="0" w:type="dxa"/>
              <w:right w:w="108" w:type="dxa"/>
            </w:tcMar>
            <w:vAlign w:val="center"/>
          </w:tcPr>
          <w:p w14:paraId="02BEC0C7" w14:textId="77777777" w:rsidR="002D237D" w:rsidRPr="002D237D" w:rsidRDefault="002D237D" w:rsidP="002D237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_______________</w:t>
            </w:r>
          </w:p>
        </w:tc>
        <w:tc>
          <w:tcPr>
            <w:tcW w:w="3717" w:type="dxa"/>
            <w:tcBorders>
              <w:top w:val="nil"/>
              <w:left w:val="nil"/>
              <w:bottom w:val="nil"/>
              <w:right w:val="nil"/>
            </w:tcBorders>
            <w:tcMar>
              <w:top w:w="0" w:type="dxa"/>
              <w:left w:w="108" w:type="dxa"/>
              <w:bottom w:w="0" w:type="dxa"/>
              <w:right w:w="108" w:type="dxa"/>
            </w:tcMar>
            <w:vAlign w:val="center"/>
          </w:tcPr>
          <w:p w14:paraId="6AF63D73" w14:textId="77777777" w:rsidR="002D237D" w:rsidRPr="002D237D" w:rsidRDefault="002D237D" w:rsidP="002D237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Л.Г.Плеханова ____________________</w:t>
            </w:r>
          </w:p>
        </w:tc>
      </w:tr>
      <w:tr w:rsidR="002D237D" w:rsidRPr="002D237D" w14:paraId="03CB75C7" w14:textId="77777777">
        <w:trPr>
          <w:trHeight w:val="281"/>
        </w:trPr>
        <w:tc>
          <w:tcPr>
            <w:tcW w:w="3570" w:type="dxa"/>
            <w:tcBorders>
              <w:top w:val="nil"/>
              <w:left w:val="nil"/>
              <w:bottom w:val="nil"/>
              <w:right w:val="nil"/>
            </w:tcBorders>
            <w:tcMar>
              <w:top w:w="0" w:type="dxa"/>
              <w:left w:w="108" w:type="dxa"/>
              <w:bottom w:w="0" w:type="dxa"/>
              <w:right w:w="108" w:type="dxa"/>
            </w:tcMar>
            <w:vAlign w:val="center"/>
          </w:tcPr>
          <w:p w14:paraId="3B4E4FFE" w14:textId="77777777" w:rsidR="002D237D" w:rsidRPr="002D237D" w:rsidRDefault="002D237D" w:rsidP="002D237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экономической службы</w:t>
            </w:r>
          </w:p>
        </w:tc>
        <w:tc>
          <w:tcPr>
            <w:tcW w:w="2456" w:type="dxa"/>
            <w:tcBorders>
              <w:top w:val="nil"/>
              <w:left w:val="nil"/>
              <w:bottom w:val="nil"/>
              <w:right w:val="nil"/>
            </w:tcBorders>
            <w:tcMar>
              <w:top w:w="0" w:type="dxa"/>
              <w:left w:w="108" w:type="dxa"/>
              <w:bottom w:w="0" w:type="dxa"/>
              <w:right w:w="108" w:type="dxa"/>
            </w:tcMar>
            <w:vAlign w:val="center"/>
          </w:tcPr>
          <w:p w14:paraId="465F8B34"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(подпись)</w:t>
            </w:r>
          </w:p>
        </w:tc>
        <w:tc>
          <w:tcPr>
            <w:tcW w:w="3717" w:type="dxa"/>
            <w:tcBorders>
              <w:top w:val="nil"/>
              <w:left w:val="nil"/>
              <w:bottom w:val="nil"/>
              <w:right w:val="nil"/>
            </w:tcBorders>
            <w:tcMar>
              <w:top w:w="0" w:type="dxa"/>
              <w:left w:w="108" w:type="dxa"/>
              <w:bottom w:w="0" w:type="dxa"/>
              <w:right w:w="108" w:type="dxa"/>
            </w:tcMar>
            <w:vAlign w:val="center"/>
          </w:tcPr>
          <w:p w14:paraId="5A6C321D" w14:textId="77777777" w:rsidR="002D237D" w:rsidRPr="002D237D" w:rsidRDefault="002D237D" w:rsidP="002D237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(расшифровка подписи)</w:t>
            </w:r>
          </w:p>
        </w:tc>
      </w:tr>
      <w:tr w:rsidR="002D237D" w:rsidRPr="002D237D" w14:paraId="46912D2F" w14:textId="77777777">
        <w:trPr>
          <w:trHeight w:val="281"/>
        </w:trPr>
        <w:tc>
          <w:tcPr>
            <w:tcW w:w="9743" w:type="dxa"/>
            <w:gridSpan w:val="3"/>
            <w:tcBorders>
              <w:top w:val="nil"/>
              <w:left w:val="nil"/>
              <w:bottom w:val="nil"/>
              <w:right w:val="nil"/>
            </w:tcBorders>
            <w:tcMar>
              <w:top w:w="0" w:type="dxa"/>
              <w:left w:w="108" w:type="dxa"/>
              <w:bottom w:w="0" w:type="dxa"/>
              <w:right w:w="108" w:type="dxa"/>
            </w:tcMar>
            <w:vAlign w:val="bottom"/>
          </w:tcPr>
          <w:p w14:paraId="2F7214B5"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 </w:t>
            </w:r>
          </w:p>
        </w:tc>
      </w:tr>
      <w:tr w:rsidR="002D237D" w:rsidRPr="002D237D" w14:paraId="60E25E36" w14:textId="77777777">
        <w:trPr>
          <w:trHeight w:val="281"/>
        </w:trPr>
        <w:tc>
          <w:tcPr>
            <w:tcW w:w="3570" w:type="dxa"/>
            <w:tcBorders>
              <w:top w:val="nil"/>
              <w:left w:val="nil"/>
              <w:bottom w:val="nil"/>
              <w:right w:val="nil"/>
            </w:tcBorders>
            <w:tcMar>
              <w:top w:w="0" w:type="dxa"/>
              <w:left w:w="108" w:type="dxa"/>
              <w:bottom w:w="0" w:type="dxa"/>
              <w:right w:w="108" w:type="dxa"/>
            </w:tcMar>
            <w:vAlign w:val="center"/>
          </w:tcPr>
          <w:p w14:paraId="4A7F3E36" w14:textId="77777777" w:rsidR="002D237D" w:rsidRPr="002D237D" w:rsidRDefault="002D237D" w:rsidP="002D237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Главный бухгалтер</w:t>
            </w:r>
          </w:p>
          <w:p w14:paraId="0E828B2A" w14:textId="77777777" w:rsidR="002D237D" w:rsidRPr="002D237D" w:rsidRDefault="002D237D" w:rsidP="002D237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 </w:t>
            </w:r>
          </w:p>
        </w:tc>
        <w:tc>
          <w:tcPr>
            <w:tcW w:w="2456" w:type="dxa"/>
            <w:tcBorders>
              <w:top w:val="nil"/>
              <w:left w:val="nil"/>
              <w:bottom w:val="nil"/>
              <w:right w:val="nil"/>
            </w:tcBorders>
            <w:tcMar>
              <w:top w:w="0" w:type="dxa"/>
              <w:left w:w="108" w:type="dxa"/>
              <w:bottom w:w="0" w:type="dxa"/>
              <w:right w:w="108" w:type="dxa"/>
            </w:tcMar>
            <w:vAlign w:val="center"/>
          </w:tcPr>
          <w:p w14:paraId="4121932A" w14:textId="77777777" w:rsidR="002D237D" w:rsidRPr="002D237D" w:rsidRDefault="002D237D" w:rsidP="002D237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________________</w:t>
            </w:r>
          </w:p>
        </w:tc>
        <w:tc>
          <w:tcPr>
            <w:tcW w:w="3717" w:type="dxa"/>
            <w:tcBorders>
              <w:top w:val="nil"/>
              <w:left w:val="nil"/>
              <w:bottom w:val="nil"/>
              <w:right w:val="nil"/>
            </w:tcBorders>
            <w:tcMar>
              <w:top w:w="0" w:type="dxa"/>
              <w:left w:w="108" w:type="dxa"/>
              <w:bottom w:w="0" w:type="dxa"/>
              <w:right w:w="108" w:type="dxa"/>
            </w:tcMar>
            <w:vAlign w:val="center"/>
          </w:tcPr>
          <w:p w14:paraId="401781FB" w14:textId="77777777" w:rsidR="002D237D" w:rsidRPr="002D237D" w:rsidRDefault="002D237D" w:rsidP="002D237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Л.Г.Плеханова</w:t>
            </w:r>
          </w:p>
        </w:tc>
      </w:tr>
      <w:tr w:rsidR="002D237D" w:rsidRPr="002D237D" w14:paraId="5CFFB1D5" w14:textId="77777777">
        <w:trPr>
          <w:trHeight w:val="281"/>
        </w:trPr>
        <w:tc>
          <w:tcPr>
            <w:tcW w:w="3570" w:type="dxa"/>
            <w:tcBorders>
              <w:top w:val="nil"/>
              <w:left w:val="nil"/>
              <w:bottom w:val="nil"/>
              <w:right w:val="nil"/>
            </w:tcBorders>
            <w:tcMar>
              <w:top w:w="0" w:type="dxa"/>
              <w:left w:w="108" w:type="dxa"/>
              <w:bottom w:w="0" w:type="dxa"/>
              <w:right w:w="108" w:type="dxa"/>
            </w:tcMar>
            <w:vAlign w:val="center"/>
          </w:tcPr>
          <w:p w14:paraId="67452A43"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«18» января 2020г.</w:t>
            </w:r>
          </w:p>
          <w:p w14:paraId="637334B7" w14:textId="77777777" w:rsidR="002D237D" w:rsidRPr="002D237D" w:rsidRDefault="002D237D" w:rsidP="002D237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 </w:t>
            </w:r>
          </w:p>
        </w:tc>
        <w:tc>
          <w:tcPr>
            <w:tcW w:w="2456" w:type="dxa"/>
            <w:tcBorders>
              <w:top w:val="nil"/>
              <w:left w:val="nil"/>
              <w:bottom w:val="nil"/>
              <w:right w:val="nil"/>
            </w:tcBorders>
            <w:tcMar>
              <w:top w:w="0" w:type="dxa"/>
              <w:left w:w="108" w:type="dxa"/>
              <w:bottom w:w="0" w:type="dxa"/>
              <w:right w:w="108" w:type="dxa"/>
            </w:tcMar>
            <w:vAlign w:val="center"/>
          </w:tcPr>
          <w:p w14:paraId="55BA2B4B"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(подпись)</w:t>
            </w:r>
          </w:p>
        </w:tc>
        <w:tc>
          <w:tcPr>
            <w:tcW w:w="3717" w:type="dxa"/>
            <w:tcBorders>
              <w:top w:val="nil"/>
              <w:left w:val="nil"/>
              <w:bottom w:val="nil"/>
              <w:right w:val="nil"/>
            </w:tcBorders>
            <w:tcMar>
              <w:top w:w="0" w:type="dxa"/>
              <w:left w:w="108" w:type="dxa"/>
              <w:bottom w:w="0" w:type="dxa"/>
              <w:right w:w="108" w:type="dxa"/>
            </w:tcMar>
            <w:vAlign w:val="center"/>
          </w:tcPr>
          <w:p w14:paraId="621BBBC7" w14:textId="77777777" w:rsidR="002D237D" w:rsidRPr="002D237D" w:rsidRDefault="002D237D" w:rsidP="002D237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D237D">
              <w:rPr>
                <w:rFonts w:ascii="Calibri" w:eastAsia="Times New Roman" w:hAnsi="Calibri" w:cs="Calibri"/>
                <w:color w:val="000000"/>
                <w:sz w:val="16"/>
                <w:szCs w:val="16"/>
                <w:lang w:eastAsia="ru-RU"/>
              </w:rPr>
              <w:t>(расшифровка подписи)</w:t>
            </w:r>
          </w:p>
        </w:tc>
      </w:tr>
      <w:tr w:rsidR="002D237D" w:rsidRPr="002D237D" w14:paraId="620B8C56" w14:textId="77777777">
        <w:trPr>
          <w:trHeight w:val="449"/>
        </w:trPr>
        <w:tc>
          <w:tcPr>
            <w:tcW w:w="3570" w:type="dxa"/>
            <w:tcBorders>
              <w:top w:val="nil"/>
              <w:left w:val="nil"/>
              <w:bottom w:val="nil"/>
              <w:right w:val="nil"/>
            </w:tcBorders>
            <w:tcMar>
              <w:top w:w="0" w:type="dxa"/>
              <w:left w:w="108" w:type="dxa"/>
              <w:bottom w:w="0" w:type="dxa"/>
              <w:right w:w="108" w:type="dxa"/>
            </w:tcMar>
            <w:vAlign w:val="center"/>
          </w:tcPr>
          <w:p w14:paraId="585631D6" w14:textId="77777777" w:rsidR="002D237D" w:rsidRPr="002D237D" w:rsidRDefault="002D237D" w:rsidP="002D237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 </w:t>
            </w:r>
          </w:p>
        </w:tc>
        <w:tc>
          <w:tcPr>
            <w:tcW w:w="2456" w:type="dxa"/>
            <w:tcBorders>
              <w:top w:val="nil"/>
              <w:left w:val="nil"/>
              <w:bottom w:val="nil"/>
              <w:right w:val="nil"/>
            </w:tcBorders>
            <w:tcMar>
              <w:top w:w="0" w:type="dxa"/>
              <w:left w:w="108" w:type="dxa"/>
              <w:bottom w:w="0" w:type="dxa"/>
              <w:right w:w="108" w:type="dxa"/>
            </w:tcMar>
            <w:vAlign w:val="center"/>
          </w:tcPr>
          <w:p w14:paraId="7DC2C970"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 </w:t>
            </w:r>
          </w:p>
        </w:tc>
        <w:tc>
          <w:tcPr>
            <w:tcW w:w="3717" w:type="dxa"/>
            <w:tcBorders>
              <w:top w:val="nil"/>
              <w:left w:val="nil"/>
              <w:bottom w:val="nil"/>
              <w:right w:val="nil"/>
            </w:tcBorders>
            <w:tcMar>
              <w:top w:w="0" w:type="dxa"/>
              <w:left w:w="108" w:type="dxa"/>
              <w:bottom w:w="0" w:type="dxa"/>
              <w:right w:w="108" w:type="dxa"/>
            </w:tcMar>
            <w:vAlign w:val="center"/>
          </w:tcPr>
          <w:p w14:paraId="34B6C0B4" w14:textId="77777777" w:rsidR="002D237D" w:rsidRPr="002D237D" w:rsidRDefault="002D237D" w:rsidP="002D237D">
            <w:pPr>
              <w:autoSpaceDE w:val="0"/>
              <w:autoSpaceDN w:val="0"/>
              <w:adjustRightInd w:val="0"/>
              <w:spacing w:after="0" w:line="240" w:lineRule="auto"/>
              <w:ind w:firstLine="70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 </w:t>
            </w:r>
          </w:p>
        </w:tc>
      </w:tr>
    </w:tbl>
    <w:p w14:paraId="70139C00" w14:textId="77777777" w:rsidR="002D237D" w:rsidRPr="002D237D" w:rsidRDefault="002D237D" w:rsidP="002D237D">
      <w:pPr>
        <w:autoSpaceDE w:val="0"/>
        <w:autoSpaceDN w:val="0"/>
        <w:adjustRightInd w:val="0"/>
        <w:spacing w:after="0" w:line="240" w:lineRule="auto"/>
        <w:rPr>
          <w:rFonts w:ascii="Times New Roman" w:eastAsia="Times New Roman" w:hAnsi="Times New Roman" w:cs="Times New Roman"/>
          <w:sz w:val="24"/>
          <w:szCs w:val="24"/>
          <w:lang w:eastAsia="ru-RU"/>
        </w:rPr>
      </w:pPr>
      <w:r w:rsidRPr="002D237D">
        <w:rPr>
          <w:rFonts w:ascii="Calibri" w:eastAsia="Times New Roman" w:hAnsi="Calibri" w:cs="Calibri"/>
          <w:color w:val="000000"/>
          <w:lang w:eastAsia="ru-RU"/>
        </w:rPr>
        <w:t> </w:t>
      </w:r>
    </w:p>
    <w:tbl>
      <w:tblPr>
        <w:tblW w:w="0" w:type="auto"/>
        <w:tblInd w:w="96" w:type="dxa"/>
        <w:tblCellMar>
          <w:left w:w="0" w:type="dxa"/>
          <w:right w:w="0" w:type="dxa"/>
        </w:tblCellMar>
        <w:tblLook w:val="0000" w:firstRow="0" w:lastRow="0" w:firstColumn="0" w:lastColumn="0" w:noHBand="0" w:noVBand="0"/>
      </w:tblPr>
      <w:tblGrid>
        <w:gridCol w:w="3087"/>
        <w:gridCol w:w="3087"/>
      </w:tblGrid>
      <w:tr w:rsidR="002D237D" w:rsidRPr="002D237D" w14:paraId="7F19B8C9" w14:textId="77777777">
        <w:trPr>
          <w:trHeight w:val="449"/>
        </w:trPr>
        <w:tc>
          <w:tcPr>
            <w:tcW w:w="3087" w:type="dxa"/>
            <w:tcBorders>
              <w:top w:val="nil"/>
              <w:left w:val="nil"/>
              <w:bottom w:val="nil"/>
              <w:right w:val="nil"/>
            </w:tcBorders>
            <w:tcMar>
              <w:top w:w="0" w:type="dxa"/>
              <w:left w:w="108" w:type="dxa"/>
              <w:bottom w:w="0" w:type="dxa"/>
              <w:right w:w="108" w:type="dxa"/>
            </w:tcMar>
            <w:vAlign w:val="center"/>
          </w:tcPr>
          <w:p w14:paraId="3B54A742" w14:textId="77777777" w:rsidR="002D237D" w:rsidRPr="002D237D" w:rsidRDefault="002D237D" w:rsidP="002D237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 </w:t>
            </w:r>
          </w:p>
        </w:tc>
        <w:tc>
          <w:tcPr>
            <w:tcW w:w="3087" w:type="dxa"/>
            <w:tcBorders>
              <w:top w:val="nil"/>
              <w:left w:val="nil"/>
              <w:bottom w:val="nil"/>
              <w:right w:val="nil"/>
            </w:tcBorders>
            <w:tcMar>
              <w:top w:w="0" w:type="dxa"/>
              <w:left w:w="108" w:type="dxa"/>
              <w:bottom w:w="0" w:type="dxa"/>
              <w:right w:w="108" w:type="dxa"/>
            </w:tcMar>
            <w:vAlign w:val="center"/>
          </w:tcPr>
          <w:p w14:paraId="39A1612C" w14:textId="77777777" w:rsidR="002D237D" w:rsidRPr="002D237D" w:rsidRDefault="002D237D" w:rsidP="002D237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sz w:val="28"/>
                <w:szCs w:val="28"/>
                <w:lang w:eastAsia="ru-RU"/>
              </w:rPr>
              <w:t> </w:t>
            </w:r>
          </w:p>
        </w:tc>
      </w:tr>
    </w:tbl>
    <w:p w14:paraId="18D2F520" w14:textId="77777777" w:rsidR="002D237D" w:rsidRPr="002D237D" w:rsidRDefault="002D237D" w:rsidP="002D237D">
      <w:pPr>
        <w:autoSpaceDE w:val="0"/>
        <w:autoSpaceDN w:val="0"/>
        <w:adjustRightInd w:val="0"/>
        <w:spacing w:after="0" w:line="276" w:lineRule="auto"/>
        <w:ind w:firstLine="700"/>
        <w:jc w:val="both"/>
        <w:rPr>
          <w:rFonts w:ascii="Times New Roman" w:eastAsia="Times New Roman" w:hAnsi="Times New Roman" w:cs="Times New Roman"/>
          <w:sz w:val="24"/>
          <w:szCs w:val="24"/>
          <w:lang w:eastAsia="ru-RU"/>
        </w:rPr>
      </w:pPr>
      <w:r w:rsidRPr="002D237D">
        <w:rPr>
          <w:rFonts w:ascii="Calibri" w:eastAsia="Times New Roman" w:hAnsi="Calibri" w:cs="Calibri"/>
          <w:color w:val="000000"/>
          <w:lang w:eastAsia="ru-RU"/>
        </w:rPr>
        <w:t> </w:t>
      </w:r>
    </w:p>
    <w:p w14:paraId="70129B13" w14:textId="77777777" w:rsidR="002D237D" w:rsidRPr="002D237D" w:rsidRDefault="002D237D" w:rsidP="002D237D">
      <w:pPr>
        <w:autoSpaceDE w:val="0"/>
        <w:autoSpaceDN w:val="0"/>
        <w:adjustRightInd w:val="0"/>
        <w:spacing w:after="0" w:line="240" w:lineRule="auto"/>
        <w:ind w:firstLine="600"/>
        <w:jc w:val="both"/>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w:t>
      </w:r>
    </w:p>
    <w:p w14:paraId="14D40890" w14:textId="77777777" w:rsidR="002D237D" w:rsidRPr="002D237D" w:rsidRDefault="002D237D" w:rsidP="002D237D">
      <w:pPr>
        <w:autoSpaceDE w:val="0"/>
        <w:autoSpaceDN w:val="0"/>
        <w:adjustRightInd w:val="0"/>
        <w:spacing w:after="0" w:line="240" w:lineRule="auto"/>
        <w:ind w:firstLine="700"/>
        <w:rPr>
          <w:rFonts w:ascii="Times New Roman" w:eastAsia="Times New Roman" w:hAnsi="Times New Roman" w:cs="Times New Roman"/>
          <w:sz w:val="24"/>
          <w:szCs w:val="24"/>
          <w:lang w:eastAsia="ru-RU"/>
        </w:rPr>
      </w:pPr>
      <w:r w:rsidRPr="002D237D">
        <w:rPr>
          <w:rFonts w:ascii="Microsoft Sans Serif" w:eastAsia="Times New Roman" w:hAnsi="Microsoft Sans Serif" w:cs="Microsoft Sans Serif"/>
          <w:color w:val="000000"/>
          <w:sz w:val="28"/>
          <w:szCs w:val="28"/>
          <w:lang w:eastAsia="ru-RU"/>
        </w:rPr>
        <w:t> </w:t>
      </w:r>
    </w:p>
    <w:p w14:paraId="4769CDA5" w14:textId="77777777" w:rsidR="005C1D90" w:rsidRDefault="005C1D90"/>
    <w:sectPr w:rsidR="005C1D90" w:rsidSect="002455BD">
      <w:pgSz w:w="12240" w:h="15840"/>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34EDF0"/>
    <w:multiLevelType w:val="hybridMultilevel"/>
    <w:tmpl w:val="FFFFFFFF"/>
    <w:lvl w:ilvl="0" w:tplc="168614FA">
      <w:start w:val="1"/>
      <w:numFmt w:val="bullet"/>
      <w:lvlText w:val="§"/>
      <w:lvlJc w:val="left"/>
      <w:pPr>
        <w:ind w:left="720" w:hanging="360"/>
      </w:pPr>
      <w:rPr>
        <w:rFonts w:ascii="Wingdings" w:hAnsi="Wingdings" w:cs="Wingdings"/>
      </w:rPr>
    </w:lvl>
    <w:lvl w:ilvl="1" w:tplc="27724A61">
      <w:start w:val="1"/>
      <w:numFmt w:val="bullet"/>
      <w:lvlText w:val="o"/>
      <w:lvlJc w:val="left"/>
      <w:pPr>
        <w:ind w:left="1440" w:hanging="360"/>
      </w:pPr>
      <w:rPr>
        <w:rFonts w:ascii="Symbol" w:hAnsi="Symbol" w:cs="Symbol"/>
      </w:rPr>
    </w:lvl>
    <w:lvl w:ilvl="2" w:tplc="25DD4AAD">
      <w:start w:val="1"/>
      <w:numFmt w:val="bullet"/>
      <w:lvlText w:val="·"/>
      <w:lvlJc w:val="left"/>
      <w:pPr>
        <w:ind w:left="2160" w:hanging="360"/>
      </w:pPr>
      <w:rPr>
        <w:rFonts w:ascii="Symbol" w:hAnsi="Symbol" w:cs="Symbol"/>
      </w:rPr>
    </w:lvl>
    <w:lvl w:ilvl="3" w:tplc="577D09E3">
      <w:start w:val="1"/>
      <w:numFmt w:val="bullet"/>
      <w:lvlText w:val="o"/>
      <w:lvlJc w:val="left"/>
      <w:pPr>
        <w:ind w:left="2880" w:hanging="360"/>
      </w:pPr>
      <w:rPr>
        <w:rFonts w:ascii="Symbol" w:hAnsi="Symbol" w:cs="Symbol"/>
      </w:rPr>
    </w:lvl>
    <w:lvl w:ilvl="4" w:tplc="21C5A960">
      <w:start w:val="1"/>
      <w:numFmt w:val="bullet"/>
      <w:lvlText w:val="·"/>
      <w:lvlJc w:val="left"/>
      <w:pPr>
        <w:ind w:left="3600" w:hanging="360"/>
      </w:pPr>
      <w:rPr>
        <w:rFonts w:ascii="Symbol" w:hAnsi="Symbol" w:cs="Symbol"/>
      </w:rPr>
    </w:lvl>
    <w:lvl w:ilvl="5" w:tplc="525110BD">
      <w:start w:val="1"/>
      <w:numFmt w:val="bullet"/>
      <w:lvlText w:val="o"/>
      <w:lvlJc w:val="left"/>
      <w:pPr>
        <w:ind w:left="4320" w:hanging="360"/>
      </w:pPr>
      <w:rPr>
        <w:rFonts w:ascii="Symbol" w:hAnsi="Symbol" w:cs="Symbol"/>
      </w:rPr>
    </w:lvl>
    <w:lvl w:ilvl="6" w:tplc="1FA6EDE4">
      <w:start w:val="1"/>
      <w:numFmt w:val="bullet"/>
      <w:lvlText w:val="·"/>
      <w:lvlJc w:val="left"/>
      <w:pPr>
        <w:ind w:left="5040" w:hanging="360"/>
      </w:pPr>
      <w:rPr>
        <w:rFonts w:ascii="Symbol" w:hAnsi="Symbol" w:cs="Symbol"/>
      </w:rPr>
    </w:lvl>
    <w:lvl w:ilvl="7" w:tplc="77BC31E8">
      <w:start w:val="1"/>
      <w:numFmt w:val="bullet"/>
      <w:lvlText w:val="o"/>
      <w:lvlJc w:val="left"/>
      <w:pPr>
        <w:ind w:left="5760" w:hanging="360"/>
      </w:pPr>
      <w:rPr>
        <w:rFonts w:ascii="Symbol" w:hAnsi="Symbol" w:cs="Symbol"/>
      </w:rPr>
    </w:lvl>
    <w:lvl w:ilvl="8" w:tplc="2ADA3286">
      <w:start w:val="1"/>
      <w:numFmt w:val="bullet"/>
      <w:lvlText w:val="·"/>
      <w:lvlJc w:val="left"/>
      <w:pPr>
        <w:ind w:left="6480" w:hanging="360"/>
      </w:pPr>
      <w:rPr>
        <w:rFonts w:ascii="Symbol" w:hAnsi="Symbol" w:cs="Symbol"/>
      </w:rPr>
    </w:lvl>
  </w:abstractNum>
  <w:abstractNum w:abstractNumId="1" w15:restartNumberingAfterBreak="0">
    <w:nsid w:val="5087F522"/>
    <w:multiLevelType w:val="hybridMultilevel"/>
    <w:tmpl w:val="FFFFFFFF"/>
    <w:lvl w:ilvl="0" w:tplc="5D400C47">
      <w:numFmt w:val="bullet"/>
      <w:lvlText w:val="§"/>
      <w:lvlJc w:val="left"/>
      <w:rPr>
        <w:rFonts w:ascii="Wingdings" w:hAnsi="Wingdings" w:cs="Wingdings"/>
      </w:rPr>
    </w:lvl>
    <w:lvl w:ilvl="1" w:tplc="02F214BF">
      <w:start w:val="1"/>
      <w:numFmt w:val="bullet"/>
      <w:lvlText w:val="o"/>
      <w:lvlJc w:val="left"/>
      <w:pPr>
        <w:ind w:left="1440" w:hanging="360"/>
      </w:pPr>
      <w:rPr>
        <w:rFonts w:ascii="Symbol" w:hAnsi="Symbol" w:cs="Symbol"/>
      </w:rPr>
    </w:lvl>
    <w:lvl w:ilvl="2" w:tplc="6CC2E9B7">
      <w:start w:val="1"/>
      <w:numFmt w:val="bullet"/>
      <w:lvlText w:val="·"/>
      <w:lvlJc w:val="left"/>
      <w:pPr>
        <w:ind w:left="2160" w:hanging="360"/>
      </w:pPr>
      <w:rPr>
        <w:rFonts w:ascii="Symbol" w:hAnsi="Symbol" w:cs="Symbol"/>
      </w:rPr>
    </w:lvl>
    <w:lvl w:ilvl="3" w:tplc="3F25A774">
      <w:start w:val="1"/>
      <w:numFmt w:val="bullet"/>
      <w:lvlText w:val="o"/>
      <w:lvlJc w:val="left"/>
      <w:pPr>
        <w:ind w:left="2880" w:hanging="360"/>
      </w:pPr>
      <w:rPr>
        <w:rFonts w:ascii="Symbol" w:hAnsi="Symbol" w:cs="Symbol"/>
      </w:rPr>
    </w:lvl>
    <w:lvl w:ilvl="4" w:tplc="1FE7DD07">
      <w:start w:val="1"/>
      <w:numFmt w:val="bullet"/>
      <w:lvlText w:val="·"/>
      <w:lvlJc w:val="left"/>
      <w:pPr>
        <w:ind w:left="3600" w:hanging="360"/>
      </w:pPr>
      <w:rPr>
        <w:rFonts w:ascii="Symbol" w:hAnsi="Symbol" w:cs="Symbol"/>
      </w:rPr>
    </w:lvl>
    <w:lvl w:ilvl="5" w:tplc="22CD5496">
      <w:start w:val="1"/>
      <w:numFmt w:val="bullet"/>
      <w:lvlText w:val="o"/>
      <w:lvlJc w:val="left"/>
      <w:pPr>
        <w:ind w:left="4320" w:hanging="360"/>
      </w:pPr>
      <w:rPr>
        <w:rFonts w:ascii="Symbol" w:hAnsi="Symbol" w:cs="Symbol"/>
      </w:rPr>
    </w:lvl>
    <w:lvl w:ilvl="6" w:tplc="4AFA8DCA">
      <w:start w:val="1"/>
      <w:numFmt w:val="bullet"/>
      <w:lvlText w:val="·"/>
      <w:lvlJc w:val="left"/>
      <w:pPr>
        <w:ind w:left="5040" w:hanging="360"/>
      </w:pPr>
      <w:rPr>
        <w:rFonts w:ascii="Symbol" w:hAnsi="Symbol" w:cs="Symbol"/>
      </w:rPr>
    </w:lvl>
    <w:lvl w:ilvl="7" w:tplc="4377CA8E">
      <w:start w:val="1"/>
      <w:numFmt w:val="bullet"/>
      <w:lvlText w:val="o"/>
      <w:lvlJc w:val="left"/>
      <w:pPr>
        <w:ind w:left="5760" w:hanging="360"/>
      </w:pPr>
      <w:rPr>
        <w:rFonts w:ascii="Symbol" w:hAnsi="Symbol" w:cs="Symbol"/>
      </w:rPr>
    </w:lvl>
    <w:lvl w:ilvl="8" w:tplc="07CF2DB6">
      <w:start w:val="1"/>
      <w:numFmt w:val="bullet"/>
      <w:lvlText w:val="·"/>
      <w:lvlJc w:val="left"/>
      <w:pPr>
        <w:ind w:left="6480" w:hanging="360"/>
      </w:pPr>
      <w:rPr>
        <w:rFonts w:ascii="Symbol" w:hAnsi="Symbol" w:cs="Symbol"/>
      </w:rPr>
    </w:lvl>
  </w:abstractNum>
  <w:abstractNum w:abstractNumId="2" w15:restartNumberingAfterBreak="0">
    <w:nsid w:val="6DF3E432"/>
    <w:multiLevelType w:val="hybridMultilevel"/>
    <w:tmpl w:val="FFFFFFFF"/>
    <w:lvl w:ilvl="0" w:tplc="03EEFC1B">
      <w:start w:val="1"/>
      <w:numFmt w:val="bullet"/>
      <w:lvlText w:val="§"/>
      <w:lvlJc w:val="left"/>
      <w:pPr>
        <w:ind w:left="720" w:hanging="360"/>
      </w:pPr>
      <w:rPr>
        <w:rFonts w:ascii="Wingdings" w:hAnsi="Wingdings" w:cs="Wingdings"/>
      </w:rPr>
    </w:lvl>
    <w:lvl w:ilvl="1" w:tplc="786A5CDE">
      <w:start w:val="1"/>
      <w:numFmt w:val="bullet"/>
      <w:lvlText w:val="o"/>
      <w:lvlJc w:val="left"/>
      <w:pPr>
        <w:ind w:left="1440" w:hanging="360"/>
      </w:pPr>
      <w:rPr>
        <w:rFonts w:ascii="Symbol" w:hAnsi="Symbol" w:cs="Symbol"/>
      </w:rPr>
    </w:lvl>
    <w:lvl w:ilvl="2" w:tplc="0AEB671A">
      <w:start w:val="1"/>
      <w:numFmt w:val="bullet"/>
      <w:lvlText w:val="·"/>
      <w:lvlJc w:val="left"/>
      <w:pPr>
        <w:ind w:left="2160" w:hanging="360"/>
      </w:pPr>
      <w:rPr>
        <w:rFonts w:ascii="Symbol" w:hAnsi="Symbol" w:cs="Symbol"/>
      </w:rPr>
    </w:lvl>
    <w:lvl w:ilvl="3" w:tplc="12A72CD4">
      <w:start w:val="1"/>
      <w:numFmt w:val="bullet"/>
      <w:lvlText w:val="o"/>
      <w:lvlJc w:val="left"/>
      <w:pPr>
        <w:ind w:left="2880" w:hanging="360"/>
      </w:pPr>
      <w:rPr>
        <w:rFonts w:ascii="Symbol" w:hAnsi="Symbol" w:cs="Symbol"/>
      </w:rPr>
    </w:lvl>
    <w:lvl w:ilvl="4" w:tplc="1E902B93">
      <w:start w:val="1"/>
      <w:numFmt w:val="bullet"/>
      <w:lvlText w:val="·"/>
      <w:lvlJc w:val="left"/>
      <w:pPr>
        <w:ind w:left="3600" w:hanging="360"/>
      </w:pPr>
      <w:rPr>
        <w:rFonts w:ascii="Symbol" w:hAnsi="Symbol" w:cs="Symbol"/>
      </w:rPr>
    </w:lvl>
    <w:lvl w:ilvl="5" w:tplc="6F49490E">
      <w:start w:val="1"/>
      <w:numFmt w:val="bullet"/>
      <w:lvlText w:val="o"/>
      <w:lvlJc w:val="left"/>
      <w:pPr>
        <w:ind w:left="4320" w:hanging="360"/>
      </w:pPr>
      <w:rPr>
        <w:rFonts w:ascii="Symbol" w:hAnsi="Symbol" w:cs="Symbol"/>
      </w:rPr>
    </w:lvl>
    <w:lvl w:ilvl="6" w:tplc="10304BDB">
      <w:start w:val="1"/>
      <w:numFmt w:val="bullet"/>
      <w:lvlText w:val="·"/>
      <w:lvlJc w:val="left"/>
      <w:pPr>
        <w:ind w:left="5040" w:hanging="360"/>
      </w:pPr>
      <w:rPr>
        <w:rFonts w:ascii="Symbol" w:hAnsi="Symbol" w:cs="Symbol"/>
      </w:rPr>
    </w:lvl>
    <w:lvl w:ilvl="7" w:tplc="4EFBA34B">
      <w:start w:val="1"/>
      <w:numFmt w:val="bullet"/>
      <w:lvlText w:val="o"/>
      <w:lvlJc w:val="left"/>
      <w:pPr>
        <w:ind w:left="5760" w:hanging="360"/>
      </w:pPr>
      <w:rPr>
        <w:rFonts w:ascii="Symbol" w:hAnsi="Symbol" w:cs="Symbol"/>
      </w:rPr>
    </w:lvl>
    <w:lvl w:ilvl="8" w:tplc="647DC0A4">
      <w:start w:val="1"/>
      <w:numFmt w:val="bullet"/>
      <w:lvlText w:val="·"/>
      <w:lvlJc w:val="left"/>
      <w:pPr>
        <w:ind w:left="6480" w:hanging="360"/>
      </w:pPr>
      <w:rPr>
        <w:rFonts w:ascii="Symbol" w:hAnsi="Symbol" w:cs="Symbol"/>
      </w:rPr>
    </w:lvl>
  </w:abstractNum>
  <w:abstractNum w:abstractNumId="3" w15:restartNumberingAfterBreak="0">
    <w:nsid w:val="74AC488B"/>
    <w:multiLevelType w:val="hybridMultilevel"/>
    <w:tmpl w:val="FFFFFFFF"/>
    <w:lvl w:ilvl="0" w:tplc="607FEDBB">
      <w:start w:val="1"/>
      <w:numFmt w:val="bullet"/>
      <w:lvlText w:val="§"/>
      <w:lvlJc w:val="left"/>
      <w:pPr>
        <w:ind w:left="720" w:hanging="360"/>
      </w:pPr>
      <w:rPr>
        <w:rFonts w:ascii="Wingdings" w:hAnsi="Wingdings" w:cs="Wingdings"/>
      </w:rPr>
    </w:lvl>
    <w:lvl w:ilvl="1" w:tplc="12C4FDF8">
      <w:start w:val="1"/>
      <w:numFmt w:val="bullet"/>
      <w:lvlText w:val="o"/>
      <w:lvlJc w:val="left"/>
      <w:pPr>
        <w:ind w:left="1440" w:hanging="360"/>
      </w:pPr>
      <w:rPr>
        <w:rFonts w:ascii="Symbol" w:hAnsi="Symbol" w:cs="Symbol"/>
      </w:rPr>
    </w:lvl>
    <w:lvl w:ilvl="2" w:tplc="6CEB4400">
      <w:start w:val="1"/>
      <w:numFmt w:val="bullet"/>
      <w:lvlText w:val="·"/>
      <w:lvlJc w:val="left"/>
      <w:pPr>
        <w:ind w:left="2160" w:hanging="360"/>
      </w:pPr>
      <w:rPr>
        <w:rFonts w:ascii="Symbol" w:hAnsi="Symbol" w:cs="Symbol"/>
      </w:rPr>
    </w:lvl>
    <w:lvl w:ilvl="3" w:tplc="060657C4">
      <w:start w:val="1"/>
      <w:numFmt w:val="bullet"/>
      <w:lvlText w:val="o"/>
      <w:lvlJc w:val="left"/>
      <w:pPr>
        <w:ind w:left="2880" w:hanging="360"/>
      </w:pPr>
      <w:rPr>
        <w:rFonts w:ascii="Symbol" w:hAnsi="Symbol" w:cs="Symbol"/>
      </w:rPr>
    </w:lvl>
    <w:lvl w:ilvl="4" w:tplc="3AA4CEF5">
      <w:start w:val="1"/>
      <w:numFmt w:val="bullet"/>
      <w:lvlText w:val="·"/>
      <w:lvlJc w:val="left"/>
      <w:pPr>
        <w:ind w:left="3600" w:hanging="360"/>
      </w:pPr>
      <w:rPr>
        <w:rFonts w:ascii="Symbol" w:hAnsi="Symbol" w:cs="Symbol"/>
      </w:rPr>
    </w:lvl>
    <w:lvl w:ilvl="5" w:tplc="0E14E894">
      <w:start w:val="1"/>
      <w:numFmt w:val="bullet"/>
      <w:lvlText w:val="o"/>
      <w:lvlJc w:val="left"/>
      <w:pPr>
        <w:ind w:left="4320" w:hanging="360"/>
      </w:pPr>
      <w:rPr>
        <w:rFonts w:ascii="Symbol" w:hAnsi="Symbol" w:cs="Symbol"/>
      </w:rPr>
    </w:lvl>
    <w:lvl w:ilvl="6" w:tplc="505F7444">
      <w:start w:val="1"/>
      <w:numFmt w:val="bullet"/>
      <w:lvlText w:val="·"/>
      <w:lvlJc w:val="left"/>
      <w:pPr>
        <w:ind w:left="5040" w:hanging="360"/>
      </w:pPr>
      <w:rPr>
        <w:rFonts w:ascii="Symbol" w:hAnsi="Symbol" w:cs="Symbol"/>
      </w:rPr>
    </w:lvl>
    <w:lvl w:ilvl="7" w:tplc="68867489">
      <w:start w:val="1"/>
      <w:numFmt w:val="bullet"/>
      <w:lvlText w:val="o"/>
      <w:lvlJc w:val="left"/>
      <w:pPr>
        <w:ind w:left="5760" w:hanging="360"/>
      </w:pPr>
      <w:rPr>
        <w:rFonts w:ascii="Symbol" w:hAnsi="Symbol" w:cs="Symbol"/>
      </w:rPr>
    </w:lvl>
    <w:lvl w:ilvl="8" w:tplc="4AF699BE">
      <w:start w:val="1"/>
      <w:numFmt w:val="bullet"/>
      <w:lvlText w:val="·"/>
      <w:lvlJc w:val="left"/>
      <w:pPr>
        <w:ind w:left="6480" w:hanging="360"/>
      </w:pPr>
      <w:rPr>
        <w:rFonts w:ascii="Symbol" w:hAnsi="Symbol" w:cs="Symbol"/>
      </w:rPr>
    </w:lvl>
  </w:abstractNum>
  <w:abstractNum w:abstractNumId="4" w15:restartNumberingAfterBreak="0">
    <w:nsid w:val="7BEBBE32"/>
    <w:multiLevelType w:val="hybridMultilevel"/>
    <w:tmpl w:val="FFFFFFFF"/>
    <w:lvl w:ilvl="0" w:tplc="0CEAE2B0">
      <w:start w:val="1"/>
      <w:numFmt w:val="bullet"/>
      <w:lvlText w:val="§"/>
      <w:lvlJc w:val="left"/>
      <w:pPr>
        <w:ind w:left="720" w:hanging="360"/>
      </w:pPr>
      <w:rPr>
        <w:rFonts w:ascii="Wingdings" w:hAnsi="Wingdings" w:cs="Wingdings"/>
      </w:rPr>
    </w:lvl>
    <w:lvl w:ilvl="1" w:tplc="3C14F8DC">
      <w:start w:val="1"/>
      <w:numFmt w:val="bullet"/>
      <w:lvlText w:val="o"/>
      <w:lvlJc w:val="left"/>
      <w:pPr>
        <w:ind w:left="1440" w:hanging="360"/>
      </w:pPr>
      <w:rPr>
        <w:rFonts w:ascii="Symbol" w:hAnsi="Symbol" w:cs="Symbol"/>
      </w:rPr>
    </w:lvl>
    <w:lvl w:ilvl="2" w:tplc="25DF55E6">
      <w:start w:val="1"/>
      <w:numFmt w:val="bullet"/>
      <w:lvlText w:val="·"/>
      <w:lvlJc w:val="left"/>
      <w:pPr>
        <w:ind w:left="2160" w:hanging="360"/>
      </w:pPr>
      <w:rPr>
        <w:rFonts w:ascii="Symbol" w:hAnsi="Symbol" w:cs="Symbol"/>
      </w:rPr>
    </w:lvl>
    <w:lvl w:ilvl="3" w:tplc="61EA95DB">
      <w:start w:val="1"/>
      <w:numFmt w:val="bullet"/>
      <w:lvlText w:val="o"/>
      <w:lvlJc w:val="left"/>
      <w:pPr>
        <w:ind w:left="2880" w:hanging="360"/>
      </w:pPr>
      <w:rPr>
        <w:rFonts w:ascii="Symbol" w:hAnsi="Symbol" w:cs="Symbol"/>
      </w:rPr>
    </w:lvl>
    <w:lvl w:ilvl="4" w:tplc="7DD0C70D">
      <w:start w:val="1"/>
      <w:numFmt w:val="bullet"/>
      <w:lvlText w:val="·"/>
      <w:lvlJc w:val="left"/>
      <w:pPr>
        <w:ind w:left="3600" w:hanging="360"/>
      </w:pPr>
      <w:rPr>
        <w:rFonts w:ascii="Symbol" w:hAnsi="Symbol" w:cs="Symbol"/>
      </w:rPr>
    </w:lvl>
    <w:lvl w:ilvl="5" w:tplc="7122DC0D">
      <w:start w:val="1"/>
      <w:numFmt w:val="bullet"/>
      <w:lvlText w:val="o"/>
      <w:lvlJc w:val="left"/>
      <w:pPr>
        <w:ind w:left="4320" w:hanging="360"/>
      </w:pPr>
      <w:rPr>
        <w:rFonts w:ascii="Symbol" w:hAnsi="Symbol" w:cs="Symbol"/>
      </w:rPr>
    </w:lvl>
    <w:lvl w:ilvl="6" w:tplc="30131765">
      <w:start w:val="1"/>
      <w:numFmt w:val="bullet"/>
      <w:lvlText w:val="·"/>
      <w:lvlJc w:val="left"/>
      <w:pPr>
        <w:ind w:left="5040" w:hanging="360"/>
      </w:pPr>
      <w:rPr>
        <w:rFonts w:ascii="Symbol" w:hAnsi="Symbol" w:cs="Symbol"/>
      </w:rPr>
    </w:lvl>
    <w:lvl w:ilvl="7" w:tplc="7AAC1689">
      <w:start w:val="1"/>
      <w:numFmt w:val="bullet"/>
      <w:lvlText w:val="o"/>
      <w:lvlJc w:val="left"/>
      <w:pPr>
        <w:ind w:left="5760" w:hanging="360"/>
      </w:pPr>
      <w:rPr>
        <w:rFonts w:ascii="Symbol" w:hAnsi="Symbol" w:cs="Symbol"/>
      </w:rPr>
    </w:lvl>
    <w:lvl w:ilvl="8" w:tplc="3ACBCEC7">
      <w:start w:val="1"/>
      <w:numFmt w:val="bullet"/>
      <w:lvlText w:val="·"/>
      <w:lvlJc w:val="left"/>
      <w:pPr>
        <w:ind w:left="6480" w:hanging="360"/>
      </w:pPr>
      <w:rPr>
        <w:rFonts w:ascii="Symbol" w:hAnsi="Symbol" w:cs="Symbol"/>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37D"/>
    <w:rsid w:val="002D237D"/>
    <w:rsid w:val="005C1D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22011"/>
  <w15:chartTrackingRefBased/>
  <w15:docId w15:val="{4910EF39-1553-465C-8498-2F1D89BAA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7668</Words>
  <Characters>43709</Characters>
  <Application>Microsoft Office Word</Application>
  <DocSecurity>0</DocSecurity>
  <Lines>364</Lines>
  <Paragraphs>102</Paragraphs>
  <ScaleCrop>false</ScaleCrop>
  <Company/>
  <LinksUpToDate>false</LinksUpToDate>
  <CharactersWithSpaces>51275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Плеханова Людмила</dc:creator>
  <cp:keywords/>
  <dc:description/>
  <cp:lastModifiedBy>Плеханова Людмила</cp:lastModifiedBy>
  <cp:revision>1</cp:revision>
  <dcterms:created xsi:type="dcterms:W3CDTF">2020-07-10T05:25:00Z</dcterms:created>
  <dcterms:modified xsi:type="dcterms:W3CDTF">2020-07-10T05:27:00Z</dcterms:modified>
</cp:coreProperties>
</file>