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F47CDC" w14:textId="77777777" w:rsidR="00B5771C" w:rsidRDefault="00B5771C">
      <w:pPr>
        <w:tabs>
          <w:tab w:val="left" w:pos="4272"/>
        </w:tabs>
        <w:autoSpaceDE w:val="0"/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bookmarkStart w:id="0" w:name="_GoBack"/>
      <w:bookmarkEnd w:id="0"/>
    </w:p>
    <w:p w14:paraId="7966EFD1" w14:textId="77777777" w:rsidR="00B5771C" w:rsidRDefault="00B5771C">
      <w:pPr>
        <w:tabs>
          <w:tab w:val="left" w:pos="4272"/>
        </w:tabs>
        <w:autoSpaceDE w:val="0"/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7D0B1457" w14:textId="77777777" w:rsidR="00B5771C" w:rsidRDefault="00B5771C">
      <w:pPr>
        <w:tabs>
          <w:tab w:val="left" w:pos="4272"/>
        </w:tabs>
        <w:autoSpaceDE w:val="0"/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2D1851B5" w14:textId="77777777" w:rsidR="00B5771C" w:rsidRDefault="00B5771C">
      <w:pPr>
        <w:tabs>
          <w:tab w:val="left" w:pos="4272"/>
        </w:tabs>
        <w:autoSpaceDE w:val="0"/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19034939" w14:textId="77777777" w:rsidR="00B5771C" w:rsidRDefault="00B5771C">
      <w:pPr>
        <w:tabs>
          <w:tab w:val="left" w:pos="4272"/>
        </w:tabs>
        <w:autoSpaceDE w:val="0"/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2E1CD996" w14:textId="77777777" w:rsidR="00B5771C" w:rsidRDefault="00B5771C">
      <w:pPr>
        <w:tabs>
          <w:tab w:val="left" w:pos="4272"/>
        </w:tabs>
        <w:autoSpaceDE w:val="0"/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23D42D14" w14:textId="77777777" w:rsidR="00B5771C" w:rsidRDefault="00B5771C">
      <w:pPr>
        <w:tabs>
          <w:tab w:val="left" w:pos="4272"/>
        </w:tabs>
        <w:autoSpaceDE w:val="0"/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1DD22D16" w14:textId="77777777" w:rsidR="00B5771C" w:rsidRDefault="00B5771C">
      <w:pPr>
        <w:tabs>
          <w:tab w:val="left" w:pos="4272"/>
        </w:tabs>
        <w:autoSpaceDE w:val="0"/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23187026" w14:textId="77777777" w:rsidR="00B5771C" w:rsidRDefault="00EF0FE8">
      <w:pPr>
        <w:autoSpaceDE w:val="0"/>
        <w:ind w:right="-2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О внесении изменений в Административный регламент предоставления территориальными отраслевыми исполнительными органами государственной власти Свердловской области – управлениями социальной политики Министерства социальной политики Свердловской области государственной услуги «Назначение пособия на проведение летнего оздоровительного отдыха детей отдельных категорий военнослужащих </w:t>
      </w:r>
    </w:p>
    <w:p w14:paraId="7B931C65" w14:textId="77777777" w:rsidR="00B5771C" w:rsidRDefault="00EF0FE8">
      <w:pPr>
        <w:autoSpaceDE w:val="0"/>
        <w:ind w:right="-2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и сотрудников некоторых федеральных органов исполнительной власти, погибших (умерших), пропавших без вести, ставших инвалидами в связи с выполнением задач в условиях вооруженного конфликта немеждународного характера в Чеченской Республике и на непосредственно прилегающих к ней территориях Северного Кавказа, отнесенных к зоне вооруженного конфликта, а также в связи с выполнением задач в ходе контртеррористических операций на территории Северо-Кавказского региона, пенсионное обеспечение которых осуществляется Пенсионным фондом Российской Федерации», утвержденный приказом Министерства социальной политики Свердловской области от 11.02.2020 № 92</w:t>
      </w:r>
    </w:p>
    <w:p w14:paraId="55B5508B" w14:textId="77777777" w:rsidR="00B5771C" w:rsidRDefault="00B5771C">
      <w:pPr>
        <w:tabs>
          <w:tab w:val="left" w:pos="1668"/>
        </w:tabs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27DFB618" w14:textId="77777777" w:rsidR="00B5771C" w:rsidRDefault="00B5771C">
      <w:pPr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4C598924" w14:textId="77777777" w:rsidR="00B5771C" w:rsidRDefault="00EF0FE8">
      <w:pPr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В соответствии со статьей 101 Областного закона от 10 марта 1999 года №</w:t>
      </w:r>
      <w:r>
        <w:t> </w:t>
      </w:r>
      <w:r>
        <w:rPr>
          <w:rFonts w:ascii="Liberation Serif" w:hAnsi="Liberation Serif" w:cs="Liberation Serif"/>
          <w:sz w:val="28"/>
          <w:szCs w:val="28"/>
        </w:rPr>
        <w:t>4</w:t>
      </w:r>
      <w:r>
        <w:rPr>
          <w:rFonts w:ascii="Liberation Serif" w:hAnsi="Liberation Serif" w:cs="Liberation Serif"/>
          <w:sz w:val="28"/>
          <w:szCs w:val="28"/>
        </w:rPr>
        <w:noBreakHyphen/>
        <w:t>ОЗ «О правовых актах в Свердловской области», постановлением Правительства Свердловской области от 17.10.2018 № 697-ПП «О разработке и 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</w:t>
      </w:r>
    </w:p>
    <w:p w14:paraId="21EEFC6D" w14:textId="77777777" w:rsidR="00B5771C" w:rsidRDefault="00EF0FE8">
      <w:pPr>
        <w:autoSpaceDE w:val="0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ПРИКАЗЫВАЮ:</w:t>
      </w:r>
    </w:p>
    <w:p w14:paraId="6856ACF9" w14:textId="77777777" w:rsidR="00B5771C" w:rsidRDefault="00EF0FE8">
      <w:pPr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1. Внести в Административный регламент предоставления территориальными отраслевыми исполнительными органами государственной власти Свердловской области – управлениями социальной политики Министерства социальной политики Свердловской области государственной услуги «Назначение пособия на проведение летнего оздоровительного отдыха детей отдельных категорий военнослужащих и сотрудников некоторых федеральных органов исполнительной власти, погибших (умерших), пропавших без вести, ставших инвалидами в связи с выполнением задач в условиях вооруженного конфликта немеждународного характера в Чеченской Республике и на непосредственно прилегающих к ней территориях Северного Кавказа, отнесенных к зоне вооруженного конфликта, а также в связи с выполнением задач в ходе контртеррористических операций на территории Северо-Кавказского региона, </w:t>
      </w:r>
      <w:r>
        <w:rPr>
          <w:rFonts w:ascii="Liberation Serif" w:hAnsi="Liberation Serif" w:cs="Liberation Serif"/>
          <w:sz w:val="28"/>
          <w:szCs w:val="28"/>
        </w:rPr>
        <w:lastRenderedPageBreak/>
        <w:t>пенсионное обеспечение которых осуществляется Пенсионным фондом Российской Федерации», утвержденный приказом Министерства социальной политики Свердловской области от 11.02.2020 № 92 «Об утверждении административного регламента предоставления территориальными отраслевыми исполнительными органами государственной власти Свердловской области – управлениями социальной политики Министерства социальной политики Свердловской области государственной услуги «Назначение пособия на проведение летнего оздоровительного отдыха детей отдельных категорий военнослужащих и сотрудников некоторых федеральных органов исполнительной власти, погибших (умерших), пропавших без вести, ставших инвалидами в связи с выполнением задач в условиях вооруженного конфликта немеждународного характера в Чеченской Республике и на непосредственно прилегающих к ней территориях Северного Кавказа, отнесенных к зоне вооруженного конфликта, а также в связи с выполнением задач в ходе контртеррористических операций на территории Северо-Кавказского региона, пенсионное обеспечение которых осуществляется Пенсионным фондом Российской Федерации» и о признании утратившим силу приказа Министерства социальной политики Свердловской области от 02.03.2016 № 68 «Об утверждении Административного регламента территориального отраслевого исполнительного органа государственной власти Свердловской области – управления социальной политики Министерства социальной политики Свердловской области по предоставлению гражданам государственной услуги по назначению пособия на проведение летнего оздоровительного отдыха детей отдельных категорий военнослужащих и сотрудников некоторых федеральных органов исполнительной власти, погибших (умерших), пропавших без вести, ставших инвалидами в связи с выполнением задач в условиях вооруженного конфликта немеждународного характера в Чеченской Республике и на непосредственно прилегающих к ней территориях Северного Кавказа, отнесенных к зоне вооруженного конфликта, а также в связи с выполнением задач в ходе контртеррористических операций на территории Северо-Кавказского региона, пенсионное обеспечение которых осуществляется Пенсионным фондом Российской Федерации» («Официальный интернет-портал правовой информации Свердловской области» (www.pravo.gov66.ru), 2020, 12 января, № 24 643), следующие изменения:</w:t>
      </w:r>
    </w:p>
    <w:p w14:paraId="6036C251" w14:textId="77777777" w:rsidR="00B5771C" w:rsidRDefault="00EF0FE8">
      <w:pPr>
        <w:pStyle w:val="a5"/>
        <w:numPr>
          <w:ilvl w:val="0"/>
          <w:numId w:val="1"/>
        </w:numPr>
        <w:tabs>
          <w:tab w:val="left" w:pos="360"/>
          <w:tab w:val="left" w:pos="1134"/>
        </w:tabs>
        <w:autoSpaceDE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абзаце втором пункта 3 слова «ставших инвалидом» заменить словами «ставших инвалидами»;</w:t>
      </w:r>
    </w:p>
    <w:p w14:paraId="2FC992EA" w14:textId="77777777" w:rsidR="00B5771C" w:rsidRDefault="00EF0FE8">
      <w:pPr>
        <w:pStyle w:val="a5"/>
        <w:numPr>
          <w:ilvl w:val="0"/>
          <w:numId w:val="1"/>
        </w:numPr>
        <w:tabs>
          <w:tab w:val="left" w:pos="360"/>
          <w:tab w:val="left" w:pos="1134"/>
        </w:tabs>
        <w:autoSpaceDE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части второй пункта 5 слова «телефонов МФЦ размещена» заменить словами «телефонов МФЦ и ссылка на официальный сайт Министерства социальной политики Свердловской области размещены»;</w:t>
      </w:r>
    </w:p>
    <w:p w14:paraId="6315EDA7" w14:textId="77777777" w:rsidR="00B5771C" w:rsidRDefault="00EF0FE8">
      <w:pPr>
        <w:pStyle w:val="a5"/>
        <w:numPr>
          <w:ilvl w:val="0"/>
          <w:numId w:val="1"/>
        </w:numPr>
        <w:tabs>
          <w:tab w:val="left" w:pos="360"/>
          <w:tab w:val="left" w:pos="1134"/>
        </w:tabs>
        <w:autoSpaceDE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пункт 13 изложить в следующей редакции:</w:t>
      </w:r>
    </w:p>
    <w:p w14:paraId="5B4B06EB" w14:textId="77777777" w:rsidR="00B5771C" w:rsidRDefault="00EF0FE8">
      <w:pPr>
        <w:pStyle w:val="a5"/>
        <w:tabs>
          <w:tab w:val="left" w:pos="360"/>
          <w:tab w:val="left" w:pos="1134"/>
        </w:tabs>
        <w:autoSpaceDE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«13. Результатом предоставления государственной услуги является принятое управлением социальной политики решение о предоставлении государственной услуги, оформленное в форме протокола управления социальной политики, либо принятое управлением социальной политики решение об отказе в предоставлении </w:t>
      </w:r>
      <w:r>
        <w:rPr>
          <w:rFonts w:ascii="Liberation Serif" w:hAnsi="Liberation Serif" w:cs="Liberation Serif"/>
          <w:sz w:val="28"/>
          <w:szCs w:val="28"/>
        </w:rPr>
        <w:lastRenderedPageBreak/>
        <w:t>государственной услуги, оформленное в форме протокола управления социальной политики.»;</w:t>
      </w:r>
    </w:p>
    <w:p w14:paraId="68554ABF" w14:textId="77777777" w:rsidR="00B5771C" w:rsidRDefault="00EF0FE8">
      <w:pPr>
        <w:pStyle w:val="a5"/>
        <w:numPr>
          <w:ilvl w:val="0"/>
          <w:numId w:val="1"/>
        </w:numPr>
        <w:tabs>
          <w:tab w:val="left" w:pos="360"/>
          <w:tab w:val="left" w:pos="1134"/>
        </w:tabs>
        <w:autoSpaceDE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подпункт 2 части второй пункта 16 изложить в следующей редакции:</w:t>
      </w:r>
    </w:p>
    <w:p w14:paraId="2B217860" w14:textId="77777777" w:rsidR="00B5771C" w:rsidRDefault="00EF0FE8">
      <w:pPr>
        <w:pStyle w:val="a5"/>
        <w:tabs>
          <w:tab w:val="left" w:pos="360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«2) копия документа, подтверждающего гибель (смерть, признание в установленном порядке безвестно отсутствующим, объявление умершим) военнослужащего, проходившего военную службу по призыву;»;</w:t>
      </w:r>
    </w:p>
    <w:p w14:paraId="3E13BF6F" w14:textId="77777777" w:rsidR="00B5771C" w:rsidRDefault="00EF0FE8">
      <w:pPr>
        <w:pStyle w:val="a5"/>
        <w:numPr>
          <w:ilvl w:val="0"/>
          <w:numId w:val="1"/>
        </w:numPr>
        <w:tabs>
          <w:tab w:val="left" w:pos="360"/>
          <w:tab w:val="left" w:pos="1134"/>
        </w:tabs>
        <w:autoSpaceDE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часть третью пункта 16 изложить в следующей редакции:</w:t>
      </w:r>
    </w:p>
    <w:p w14:paraId="16A3E6E2" w14:textId="77777777" w:rsidR="00B5771C" w:rsidRDefault="00EF0FE8">
      <w:pPr>
        <w:pStyle w:val="a5"/>
        <w:tabs>
          <w:tab w:val="left" w:pos="360"/>
          <w:tab w:val="left" w:pos="1134"/>
        </w:tabs>
        <w:autoSpaceDE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«Вместо документов, указанных в подпунктах 1 и 2 части второй настоящего пункта, – для детей, указанных в абзаце третьем пункта 3 настоящего регламента, копия документа, подтверждающего гибель (смерть, признание в установленном порядке безвестно отсутствующим или объявление умершим) военнослужащего (сотрудника).»;</w:t>
      </w:r>
    </w:p>
    <w:p w14:paraId="28DD329C" w14:textId="77777777" w:rsidR="00B5771C" w:rsidRDefault="00EF0FE8">
      <w:pPr>
        <w:pStyle w:val="a5"/>
        <w:numPr>
          <w:ilvl w:val="0"/>
          <w:numId w:val="1"/>
        </w:numPr>
        <w:tabs>
          <w:tab w:val="left" w:pos="360"/>
          <w:tab w:val="left" w:pos="1134"/>
        </w:tabs>
        <w:autoSpaceDE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часть вторую пункта 17 изложить в следующей редакции: </w:t>
      </w:r>
    </w:p>
    <w:p w14:paraId="48EB6197" w14:textId="77777777" w:rsidR="00B5771C" w:rsidRDefault="00EF0FE8">
      <w:pPr>
        <w:pStyle w:val="a5"/>
        <w:tabs>
          <w:tab w:val="left" w:pos="360"/>
          <w:tab w:val="left" w:pos="1134"/>
        </w:tabs>
        <w:autoSpaceDE w:val="0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«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 подаче заявления и документов, необходимых для предоставления государственной услуги, с использованием информационно-телекоммуникационных технологий, </w:t>
      </w:r>
      <w:r>
        <w:rPr>
          <w:rFonts w:ascii="Liberation Serif" w:hAnsi="Liberation Serif" w:cs="Liberation Serif"/>
          <w:sz w:val="28"/>
          <w:szCs w:val="28"/>
        </w:rPr>
        <w:t>заявление должно быть подписано усиленной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квалифицированной электронной подписью заявителя, электронная копия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(электронный образ) каждого </w:t>
      </w:r>
      <w:r>
        <w:rPr>
          <w:rFonts w:ascii="Liberation Serif" w:hAnsi="Liberation Serif" w:cs="Liberation Serif"/>
          <w:sz w:val="28"/>
          <w:szCs w:val="28"/>
        </w:rPr>
        <w:t>приложенного к нему документа должна быть подписана усиленной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квалифицированной электронной подписью органа (организации), предоставляющей заявителю документы.»;</w:t>
      </w:r>
    </w:p>
    <w:p w14:paraId="090BAC4F" w14:textId="5AAD73FF" w:rsidR="00B5771C" w:rsidRDefault="00EF0FE8">
      <w:pPr>
        <w:pStyle w:val="a5"/>
        <w:numPr>
          <w:ilvl w:val="0"/>
          <w:numId w:val="1"/>
        </w:numPr>
        <w:tabs>
          <w:tab w:val="left" w:pos="360"/>
          <w:tab w:val="left" w:pos="1134"/>
        </w:tabs>
        <w:autoSpaceDE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 наименовании подраздела «Исчерпывающий перечень документов, необходимых в соответствии с законодательством Российской Федерации и законодательством Свердловской области для предоставления государственной услуги, и услуг являющихся необходимыми и обязательными для предоставления государственной услуги и подлежащих представлению заявителем, способы их получения заявителем, в том числе в электронной форме, порядок их представления» </w:t>
      </w:r>
      <w:r w:rsidR="00C05B26">
        <w:rPr>
          <w:rFonts w:ascii="Liberation Serif" w:hAnsi="Liberation Serif" w:cs="Liberation Serif"/>
          <w:sz w:val="28"/>
          <w:szCs w:val="28"/>
        </w:rPr>
        <w:t xml:space="preserve">раздела </w:t>
      </w:r>
      <w:r w:rsidR="00457602">
        <w:rPr>
          <w:rFonts w:ascii="Liberation Serif" w:hAnsi="Liberation Serif" w:cs="Liberation Serif"/>
          <w:sz w:val="28"/>
          <w:szCs w:val="28"/>
        </w:rPr>
        <w:t>2</w:t>
      </w:r>
      <w:r w:rsidR="00C05B26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слова «государственной услуги, и услуг являющихся» заменить словами «государственной услуги и услуг, являющихся», слова «государственной услуги и подлежащих» заменить словами «государственной услуги, и подлежащих»;</w:t>
      </w:r>
    </w:p>
    <w:p w14:paraId="1FDE0CFF" w14:textId="0FD15100" w:rsidR="00B5771C" w:rsidRDefault="00EF0FE8">
      <w:pPr>
        <w:pStyle w:val="a5"/>
        <w:numPr>
          <w:ilvl w:val="0"/>
          <w:numId w:val="1"/>
        </w:numPr>
        <w:tabs>
          <w:tab w:val="left" w:pos="360"/>
          <w:tab w:val="left" w:pos="1134"/>
        </w:tabs>
        <w:autoSpaceDE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часть первую пункта 18 дополнить абзацем</w:t>
      </w:r>
      <w:r w:rsidR="00C05B26">
        <w:rPr>
          <w:rFonts w:ascii="Liberation Serif" w:hAnsi="Liberation Serif" w:cs="Liberation Serif"/>
          <w:sz w:val="28"/>
          <w:szCs w:val="28"/>
        </w:rPr>
        <w:t xml:space="preserve"> </w:t>
      </w:r>
      <w:r w:rsidR="00457602" w:rsidRPr="00457602">
        <w:rPr>
          <w:rFonts w:ascii="Liberation Serif" w:hAnsi="Liberation Serif" w:cs="Liberation Serif"/>
          <w:sz w:val="28"/>
          <w:szCs w:val="28"/>
        </w:rPr>
        <w:t>четверт</w:t>
      </w:r>
      <w:r w:rsidR="00457602">
        <w:rPr>
          <w:rFonts w:ascii="Liberation Serif" w:hAnsi="Liberation Serif" w:cs="Liberation Serif"/>
          <w:sz w:val="28"/>
          <w:szCs w:val="28"/>
        </w:rPr>
        <w:t>ы</w:t>
      </w:r>
      <w:r w:rsidR="00457602" w:rsidRPr="00457602">
        <w:rPr>
          <w:rFonts w:ascii="Liberation Serif" w:hAnsi="Liberation Serif" w:cs="Liberation Serif"/>
          <w:sz w:val="28"/>
          <w:szCs w:val="28"/>
        </w:rPr>
        <w:t>м</w:t>
      </w:r>
      <w:r w:rsidR="00C05B26">
        <w:rPr>
          <w:rFonts w:ascii="Liberation Serif" w:hAnsi="Liberation Serif" w:cs="Liberation Serif"/>
          <w:sz w:val="28"/>
          <w:szCs w:val="28"/>
        </w:rPr>
        <w:t xml:space="preserve"> следующего содержания</w:t>
      </w:r>
      <w:r>
        <w:rPr>
          <w:rFonts w:ascii="Liberation Serif" w:hAnsi="Liberation Serif" w:cs="Liberation Serif"/>
          <w:sz w:val="28"/>
          <w:szCs w:val="28"/>
        </w:rPr>
        <w:t>:</w:t>
      </w:r>
    </w:p>
    <w:p w14:paraId="24A55241" w14:textId="77777777" w:rsidR="00B5771C" w:rsidRDefault="00EF0FE8">
      <w:pPr>
        <w:pStyle w:val="a5"/>
        <w:tabs>
          <w:tab w:val="left" w:pos="360"/>
          <w:tab w:val="left" w:pos="1134"/>
        </w:tabs>
        <w:autoSpaceDE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«сведения, подтверждающие факт установления инвалидности военнослужащему (сотруднику), проходившему военную службу по призыву, в связи с выполнением задач в условиях вооруженного конфликта немеждународного характера в Чеченской Республике и на непосредственно прилегающих к ней территориях Северного Кавказа, отнесенных к зоне вооруженного конфликта, а также в связи с выполнением задач в ходе контртеррористических операций на территории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Северо-Кавказского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региона.»;</w:t>
      </w:r>
    </w:p>
    <w:p w14:paraId="75514341" w14:textId="77777777" w:rsidR="00B5771C" w:rsidRDefault="00EF0FE8">
      <w:pPr>
        <w:pStyle w:val="a5"/>
        <w:numPr>
          <w:ilvl w:val="0"/>
          <w:numId w:val="1"/>
        </w:numPr>
        <w:tabs>
          <w:tab w:val="left" w:pos="360"/>
          <w:tab w:val="left" w:pos="1134"/>
        </w:tabs>
        <w:autoSpaceDE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часть первую пункта 19 изложить в следующей редакции:</w:t>
      </w:r>
    </w:p>
    <w:p w14:paraId="498E04EE" w14:textId="77777777" w:rsidR="00B5771C" w:rsidRDefault="00EF0FE8">
      <w:pPr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«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19. Запрещается требовать от заявителя:</w:t>
      </w:r>
    </w:p>
    <w:p w14:paraId="68600316" w14:textId="77777777" w:rsidR="00B5771C" w:rsidRDefault="00EF0FE8">
      <w:pPr>
        <w:autoSpaceDE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правовыми актами, регулирующими отношения, возникающие в связи с предоставлением государственной услуги;</w:t>
      </w:r>
    </w:p>
    <w:p w14:paraId="46636106" w14:textId="77777777" w:rsidR="00B5771C" w:rsidRDefault="00EF0FE8">
      <w:pPr>
        <w:autoSpaceDE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представления документов и информации, которые в соответствии с 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 предоставлении государственных или муниципальных услуг, за исключением документов, указанных в части 6 статьи 7 Федерального закона от 27 июля 2010 года № 210-ФЗ «Об организации предоставления государственных и муниципальных услуг» (далее – Федеральный закон от 27 июля 2010 года № 210-ФЗ);</w:t>
      </w:r>
    </w:p>
    <w:p w14:paraId="6D8DEA95" w14:textId="77777777" w:rsidR="00B5771C" w:rsidRDefault="00EF0FE8">
      <w:pPr>
        <w:autoSpaceDE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представления документов, подтверждающих внесение заявителем платы за предоставление государственной услуги;</w:t>
      </w:r>
    </w:p>
    <w:p w14:paraId="786D5A4D" w14:textId="77777777" w:rsidR="00B5771C" w:rsidRDefault="00EF0FE8">
      <w:pPr>
        <w:autoSpaceDE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 предоставлении государственной услуги, за исключением следующих случаев:</w:t>
      </w:r>
    </w:p>
    <w:p w14:paraId="162E25B3" w14:textId="77777777" w:rsidR="00B5771C" w:rsidRDefault="00EF0FE8">
      <w:pPr>
        <w:autoSpaceDE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изменение требований нормативных правовых актов, касающихся предоставления государственной услуги, после первоначальной подачи заявления;</w:t>
      </w:r>
    </w:p>
    <w:p w14:paraId="036902E5" w14:textId="77777777" w:rsidR="00B5771C" w:rsidRDefault="00EF0FE8">
      <w:pPr>
        <w:autoSpaceDE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наличие ошибок в заявлении и документах, поданных заявителем после первоначального отказа в приеме документов, необходимых для предоставления государственной услуги, либо в предоставлении государственной услуги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 не включенных в представленный ранее комплект документов;</w:t>
      </w:r>
    </w:p>
    <w:p w14:paraId="6EA0CDE0" w14:textId="77777777" w:rsidR="00B5771C" w:rsidRDefault="00EF0FE8">
      <w:pPr>
        <w:autoSpaceDE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14:paraId="2A06FD8B" w14:textId="77777777" w:rsidR="00B5771C" w:rsidRDefault="00EF0FE8">
      <w:pPr>
        <w:autoSpaceDE w:val="0"/>
        <w:ind w:firstLine="709"/>
        <w:jc w:val="both"/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управления социальной политики, работника МФЦ при первоначальном отказе в приеме документов, необходимых для предоставления государственной услуги, либо в предоставлении государственной услуги. В данном случае в письменном виде за подписью начальника управления социальной политики, руководителя МФЦ при первоначальном отказе в приеме документов, необходимых для предоставления государственной услуги, заявитель уведомляется об указанном факте, а также приносятся извинения за доставленные неудобства.</w:t>
      </w:r>
      <w:r>
        <w:rPr>
          <w:rFonts w:ascii="Liberation Serif" w:hAnsi="Liberation Serif" w:cs="Liberation Serif"/>
          <w:sz w:val="28"/>
          <w:szCs w:val="28"/>
        </w:rPr>
        <w:t>»;</w:t>
      </w:r>
    </w:p>
    <w:p w14:paraId="69397803" w14:textId="77777777" w:rsidR="00B5771C" w:rsidRDefault="00EF0FE8">
      <w:pPr>
        <w:pStyle w:val="a5"/>
        <w:numPr>
          <w:ilvl w:val="0"/>
          <w:numId w:val="1"/>
        </w:numPr>
        <w:tabs>
          <w:tab w:val="left" w:pos="360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абзац второй пункта 22 дополнить словами «(до 1 июля 2020 года)»;</w:t>
      </w:r>
    </w:p>
    <w:p w14:paraId="5CBE05F9" w14:textId="77777777" w:rsidR="00B5771C" w:rsidRDefault="00EF0FE8">
      <w:pPr>
        <w:pStyle w:val="a5"/>
        <w:numPr>
          <w:ilvl w:val="0"/>
          <w:numId w:val="1"/>
        </w:numPr>
        <w:tabs>
          <w:tab w:val="left" w:pos="360"/>
          <w:tab w:val="left" w:pos="1134"/>
        </w:tabs>
        <w:ind w:left="0" w:firstLine="709"/>
        <w:jc w:val="both"/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в подпункте 1 пункта 30 слова «</w:t>
      </w:r>
      <w:r>
        <w:rPr>
          <w:rFonts w:ascii="Liberation Serif" w:hAnsi="Liberation Serif" w:cs="Liberation Serif"/>
          <w:sz w:val="28"/>
          <w:szCs w:val="28"/>
        </w:rPr>
        <w:t>государственной услуги лично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» заменить словами «</w:t>
      </w:r>
      <w:r>
        <w:rPr>
          <w:rFonts w:ascii="Liberation Serif" w:hAnsi="Liberation Serif" w:cs="Liberation Serif"/>
          <w:sz w:val="28"/>
          <w:szCs w:val="28"/>
        </w:rPr>
        <w:t>государственной услуги, в том числе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»;</w:t>
      </w:r>
    </w:p>
    <w:p w14:paraId="00F7F71B" w14:textId="77777777" w:rsidR="00B5771C" w:rsidRDefault="00EF0FE8">
      <w:pPr>
        <w:pStyle w:val="a5"/>
        <w:numPr>
          <w:ilvl w:val="0"/>
          <w:numId w:val="1"/>
        </w:numPr>
        <w:tabs>
          <w:tab w:val="left" w:pos="360"/>
          <w:tab w:val="left" w:pos="1134"/>
        </w:tabs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в подпункте 2 пункта 30 слова «и в электронной форме (при наличии технической возможности)» исключить;</w:t>
      </w:r>
    </w:p>
    <w:p w14:paraId="43CF6B86" w14:textId="77777777" w:rsidR="00B5771C" w:rsidRDefault="00EF0FE8">
      <w:pPr>
        <w:pStyle w:val="a5"/>
        <w:numPr>
          <w:ilvl w:val="0"/>
          <w:numId w:val="1"/>
        </w:numPr>
        <w:tabs>
          <w:tab w:val="left" w:pos="360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пункт 37 изложить в следующей редакции:</w:t>
      </w:r>
    </w:p>
    <w:p w14:paraId="075CCDAC" w14:textId="77777777" w:rsidR="00B5771C" w:rsidRDefault="00EF0FE8">
      <w:pPr>
        <w:pStyle w:val="a5"/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«37. Перечень административных процедур по предоставлению государственной услуги в электронной форме, в том числе с использованием Единого портала, включает в себя:</w:t>
      </w:r>
    </w:p>
    <w:p w14:paraId="0E4B0432" w14:textId="77777777" w:rsidR="00B5771C" w:rsidRDefault="00EF0FE8">
      <w:pPr>
        <w:tabs>
          <w:tab w:val="left" w:pos="1276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1) представление в установленном порядке информации заявителям и обеспечение доступа заявителей к сведениям о государственной услуге;</w:t>
      </w:r>
    </w:p>
    <w:p w14:paraId="6EECBB4B" w14:textId="77777777" w:rsidR="00B5771C" w:rsidRDefault="00EF0FE8">
      <w:pPr>
        <w:tabs>
          <w:tab w:val="left" w:pos="1276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2) запись на прием в управление социальной политики для подачи заявления;</w:t>
      </w:r>
    </w:p>
    <w:p w14:paraId="0ADA10E1" w14:textId="77777777" w:rsidR="00B5771C" w:rsidRDefault="00EF0FE8">
      <w:pPr>
        <w:tabs>
          <w:tab w:val="left" w:pos="1276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3) формирование заявления;</w:t>
      </w:r>
    </w:p>
    <w:p w14:paraId="6AC6391D" w14:textId="77777777" w:rsidR="00B5771C" w:rsidRDefault="00EF0FE8">
      <w:pPr>
        <w:tabs>
          <w:tab w:val="left" w:pos="1276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4) прием и регистрация заявления и документов, необходимых для предоставления государственной услуги, либо отказ в приеме заявления и документов, необходимых для предоставления государственной услуги;</w:t>
      </w:r>
    </w:p>
    <w:p w14:paraId="518A0246" w14:textId="77777777" w:rsidR="00B5771C" w:rsidRDefault="00EF0FE8">
      <w:pPr>
        <w:tabs>
          <w:tab w:val="left" w:pos="1276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5) оплата государственной пошлины за предоставление государственной услуги и уплата иных платежей, взимаемых в соответствии с законодательством Российской Федерации;</w:t>
      </w:r>
    </w:p>
    <w:p w14:paraId="36861145" w14:textId="77777777" w:rsidR="00B5771C" w:rsidRDefault="00EF0FE8">
      <w:pPr>
        <w:tabs>
          <w:tab w:val="left" w:pos="1276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6) получение заявителем сведений о ходе предоставления государственной услуги; </w:t>
      </w:r>
    </w:p>
    <w:p w14:paraId="505155BD" w14:textId="77777777" w:rsidR="00B5771C" w:rsidRDefault="00EF0FE8">
      <w:pPr>
        <w:tabs>
          <w:tab w:val="left" w:pos="1276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7) направление заявителю копии решения о предоставлении либо об отказе в предоставлении государственной услуги;</w:t>
      </w:r>
    </w:p>
    <w:p w14:paraId="5B530D0C" w14:textId="77777777" w:rsidR="00B5771C" w:rsidRDefault="00EF0FE8">
      <w:pPr>
        <w:tabs>
          <w:tab w:val="left" w:pos="1276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8) взаимодействие управления социальной политики с иными органами власти, органами местного самоуправления и организациями, участвующими в предоставлении государственной услуги, в том числе порядок и условия такого взаимодействия;</w:t>
      </w:r>
    </w:p>
    <w:p w14:paraId="1C2879F3" w14:textId="77777777" w:rsidR="00B5771C" w:rsidRDefault="00EF0FE8">
      <w:pPr>
        <w:tabs>
          <w:tab w:val="left" w:pos="1276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9) осуществление оценки качества предоставления государственной услуги;</w:t>
      </w:r>
    </w:p>
    <w:p w14:paraId="57DB2B07" w14:textId="77777777" w:rsidR="00B5771C" w:rsidRDefault="00EF0FE8">
      <w:pPr>
        <w:tabs>
          <w:tab w:val="left" w:pos="1276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10) иные действия, необходимые для предоставления государственной услуги, в том числе связанные с проверкой действительности усиленной квалифицированной электронной подписи заявителя, использованной при обращении за получением государственной услуги, а также с установлением перечня классов средств удостоверяющих центров, которые допускаются для использования в целях обеспечения указанной проверки и определяются на основании утверждаемой федеральным органом исполнительной власти по 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государственной услуги и (или) предоставления такой услуги.»;</w:t>
      </w:r>
    </w:p>
    <w:p w14:paraId="0E0E9DE3" w14:textId="1CAE1A65" w:rsidR="00B5771C" w:rsidRDefault="00EF0FE8">
      <w:pPr>
        <w:pStyle w:val="a5"/>
        <w:numPr>
          <w:ilvl w:val="0"/>
          <w:numId w:val="1"/>
        </w:numPr>
        <w:tabs>
          <w:tab w:val="left" w:pos="360"/>
          <w:tab w:val="left" w:pos="1134"/>
        </w:tabs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в наименовании подраздела «Формирование и направление межведомственного запроса в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>государственные органы, организации, участвующие в предоставлении государственной услуги, и (или) получение сведений посредством Единой государственной информационной системы социального обеспечения, Единого государственного реестра записей актов гражданского состояния»</w:t>
      </w:r>
      <w:r w:rsidR="00C05B26">
        <w:rPr>
          <w:rFonts w:ascii="Liberation Serif" w:hAnsi="Liberation Serif" w:cs="Liberation Serif"/>
          <w:sz w:val="28"/>
          <w:szCs w:val="28"/>
        </w:rPr>
        <w:t xml:space="preserve"> раздела </w:t>
      </w:r>
      <w:r w:rsidR="000E5DAC">
        <w:rPr>
          <w:rFonts w:ascii="Liberation Serif" w:hAnsi="Liberation Serif" w:cs="Liberation Serif"/>
          <w:sz w:val="28"/>
          <w:szCs w:val="28"/>
        </w:rPr>
        <w:t>3</w:t>
      </w:r>
      <w:r>
        <w:rPr>
          <w:rFonts w:ascii="Liberation Serif" w:hAnsi="Liberation Serif" w:cs="Liberation Serif"/>
          <w:sz w:val="28"/>
          <w:szCs w:val="28"/>
        </w:rPr>
        <w:t>, пункте 51, абзаце первом пункта 52 слова «посредством Единой государственной информационной системы социального обеспечения, Единого государственного реестра записей актов гражданского состояния» заменить словами «посредством ЕГИССО, ЕГР ЗАГС»;</w:t>
      </w:r>
    </w:p>
    <w:p w14:paraId="61CBC7FB" w14:textId="77777777" w:rsidR="00B5771C" w:rsidRDefault="00EF0FE8">
      <w:pPr>
        <w:pStyle w:val="a5"/>
        <w:numPr>
          <w:ilvl w:val="0"/>
          <w:numId w:val="1"/>
        </w:numPr>
        <w:tabs>
          <w:tab w:val="left" w:pos="360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пункт 52 дополнить абзацем четвертым следующего содержания:</w:t>
      </w:r>
    </w:p>
    <w:p w14:paraId="61C3E310" w14:textId="77777777" w:rsidR="00B5771C" w:rsidRDefault="00EF0FE8">
      <w:pPr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lastRenderedPageBreak/>
        <w:t>«сведений, указанных в абзаце четвертом пункта 18 настоящего регламента, – в Пенсионный фонд Российской Федерации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>
        <w:rPr>
          <w:rFonts w:ascii="Liberation Serif" w:hAnsi="Liberation Serif" w:cs="Liberation Serif"/>
          <w:sz w:val="28"/>
          <w:szCs w:val="28"/>
        </w:rPr>
        <w:t>»;</w:t>
      </w:r>
    </w:p>
    <w:p w14:paraId="32EAD8D2" w14:textId="77777777" w:rsidR="00B5771C" w:rsidRDefault="00EF0FE8">
      <w:pPr>
        <w:pStyle w:val="a5"/>
        <w:numPr>
          <w:ilvl w:val="0"/>
          <w:numId w:val="1"/>
        </w:numPr>
        <w:tabs>
          <w:tab w:val="left" w:pos="360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пункте 56 слова «посредством ЕГИССР» заменить словами «посредством ЕГИССО»;</w:t>
      </w:r>
    </w:p>
    <w:p w14:paraId="768CBB5D" w14:textId="77777777" w:rsidR="00B5771C" w:rsidRDefault="00EF0FE8">
      <w:pPr>
        <w:pStyle w:val="a5"/>
        <w:numPr>
          <w:ilvl w:val="0"/>
          <w:numId w:val="1"/>
        </w:numPr>
        <w:tabs>
          <w:tab w:val="left" w:pos="360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части первой пункта 74 слова «(при наличии технической возможности)» исключить;</w:t>
      </w:r>
    </w:p>
    <w:p w14:paraId="0FFCDF24" w14:textId="77777777" w:rsidR="00B5771C" w:rsidRDefault="00EF0FE8">
      <w:pPr>
        <w:pStyle w:val="a5"/>
        <w:numPr>
          <w:ilvl w:val="0"/>
          <w:numId w:val="1"/>
        </w:numPr>
        <w:tabs>
          <w:tab w:val="left" w:pos="360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абзаце седьмом части четвертой пункта 76 слова «сформированных заявлений» заменить словами «сформированным заявлениям»;</w:t>
      </w:r>
    </w:p>
    <w:p w14:paraId="73092165" w14:textId="77777777" w:rsidR="00B5771C" w:rsidRDefault="00EF0FE8">
      <w:pPr>
        <w:pStyle w:val="a5"/>
        <w:numPr>
          <w:ilvl w:val="0"/>
          <w:numId w:val="1"/>
        </w:numPr>
        <w:tabs>
          <w:tab w:val="left" w:pos="360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дополнить пунктом 77-1 следующего содержания:</w:t>
      </w:r>
    </w:p>
    <w:p w14:paraId="40531E2C" w14:textId="77777777" w:rsidR="00B5771C" w:rsidRDefault="00EF0FE8">
      <w:pPr>
        <w:pStyle w:val="a5"/>
        <w:tabs>
          <w:tab w:val="left" w:pos="360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«77-1. В целях предоставления государственной услуги проверка </w:t>
      </w:r>
      <w:proofErr w:type="gramStart"/>
      <w:r>
        <w:rPr>
          <w:rFonts w:ascii="Liberation Serif" w:hAnsi="Liberation Serif" w:cs="Liberation Serif"/>
          <w:sz w:val="28"/>
          <w:szCs w:val="28"/>
        </w:rPr>
        <w:t>действительности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усиленной квалифицированной электронной подписи заявителя осуществляется с использованием сервиса «Подтверждение подлинности электронной подписи» в информационно-справочном разделе Единого портала.»;</w:t>
      </w:r>
    </w:p>
    <w:p w14:paraId="4FB948D6" w14:textId="77777777" w:rsidR="00B5771C" w:rsidRDefault="00EF0FE8">
      <w:pPr>
        <w:pStyle w:val="a5"/>
        <w:numPr>
          <w:ilvl w:val="0"/>
          <w:numId w:val="1"/>
        </w:numPr>
        <w:tabs>
          <w:tab w:val="left" w:pos="360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дополнить пунктом 92-1 следующего содержания:</w:t>
      </w:r>
    </w:p>
    <w:p w14:paraId="122C2531" w14:textId="77777777" w:rsidR="00B5771C" w:rsidRDefault="00EF0FE8">
      <w:pPr>
        <w:pStyle w:val="a5"/>
        <w:tabs>
          <w:tab w:val="left" w:pos="360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«92-1. Административная процедура «Формирование и направление МФЦ межведомственного запроса в органы, предоставляющие государственные услуги, в иные органы государственной власти, органы местного самоуправления и организации, участвующие в предоставлении государственных услуг» работниками МФЦ не осуществляется.»;</w:t>
      </w:r>
    </w:p>
    <w:p w14:paraId="429B8E69" w14:textId="77777777" w:rsidR="00B5771C" w:rsidRDefault="00EF0FE8">
      <w:pPr>
        <w:pStyle w:val="a5"/>
        <w:numPr>
          <w:ilvl w:val="0"/>
          <w:numId w:val="1"/>
        </w:numPr>
        <w:tabs>
          <w:tab w:val="left" w:pos="360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пункт 96 изложить в следующей редакции:</w:t>
      </w:r>
    </w:p>
    <w:p w14:paraId="64B3222B" w14:textId="77777777" w:rsidR="00B5771C" w:rsidRDefault="00EF0FE8">
      <w:pPr>
        <w:autoSpaceDE w:val="0"/>
        <w:spacing w:line="232" w:lineRule="auto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«96.</w:t>
      </w:r>
      <w:r>
        <w:rPr>
          <w:rFonts w:ascii="Liberation Serif" w:eastAsia="Calibri" w:hAnsi="Liberation Serif" w:cs="Liberation Serif"/>
          <w:sz w:val="28"/>
          <w:szCs w:val="28"/>
        </w:rPr>
        <w:t> 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Предоставление государственной услуги посредством комплексного запроса включает в себя следующие административные действия.</w:t>
      </w:r>
    </w:p>
    <w:p w14:paraId="4732A529" w14:textId="77777777" w:rsidR="00B5771C" w:rsidRDefault="00EF0FE8">
      <w:pPr>
        <w:tabs>
          <w:tab w:val="left" w:pos="993"/>
        </w:tabs>
        <w:autoSpaceDE w:val="0"/>
        <w:spacing w:line="232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МФЦ осуществляет информирование заявителей о порядке предоставления государственных и (или) муниципальных услуг посредством комплексного запроса, о ходе выполнения комплексного запроса, а также по иным вопросам, связанным с предоставлением государственных и (или) муниципальных услуг.</w:t>
      </w:r>
    </w:p>
    <w:p w14:paraId="7CF6F20E" w14:textId="77777777" w:rsidR="00B5771C" w:rsidRDefault="00EF0FE8">
      <w:pPr>
        <w:tabs>
          <w:tab w:val="left" w:pos="993"/>
        </w:tabs>
        <w:autoSpaceDE w:val="0"/>
        <w:spacing w:line="232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При однократном обращении заявителя в МФЦ с запросом на получение двух и более государственных и (или) муниципальных услуг, заявление формируется уполномоченным работником МФЦ и скрепляется печатью МФЦ. При этом составление и подписание такого заявления заявителем не требуется.</w:t>
      </w:r>
    </w:p>
    <w:p w14:paraId="28B0ECF6" w14:textId="77777777" w:rsidR="00B5771C" w:rsidRDefault="00EF0FE8">
      <w:pPr>
        <w:tabs>
          <w:tab w:val="left" w:pos="993"/>
        </w:tabs>
        <w:autoSpaceDE w:val="0"/>
        <w:spacing w:line="232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МФЦ передает в управление социальной политики оформленное заявление и документы, необходимые для предоставления государственной услуги, предоставленные заявителем, с приложением заверенной МФЦ копии комплексного запроса в срок не позднее одного рабочего дня, следующего за днем формирования комплексного запроса.</w:t>
      </w:r>
    </w:p>
    <w:p w14:paraId="267F662C" w14:textId="77777777" w:rsidR="00B5771C" w:rsidRDefault="00EF0FE8">
      <w:pPr>
        <w:tabs>
          <w:tab w:val="left" w:pos="993"/>
        </w:tabs>
        <w:autoSpaceDE w:val="0"/>
        <w:spacing w:line="232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Результат предоставления государственной услуги направляется управлением социальной политики в МФЦ для выдачи заявителю.»;</w:t>
      </w:r>
    </w:p>
    <w:p w14:paraId="007F606F" w14:textId="77777777" w:rsidR="00B5771C" w:rsidRDefault="00EF0FE8">
      <w:pPr>
        <w:pStyle w:val="a5"/>
        <w:numPr>
          <w:ilvl w:val="0"/>
          <w:numId w:val="1"/>
        </w:numPr>
        <w:tabs>
          <w:tab w:val="left" w:pos="360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части первой пункта 97 слова «осуществляется по заявке заявителя в произвольной форме» заменить словами «осуществляется по заявке заявителя, составленной в произвольной форме»;</w:t>
      </w:r>
    </w:p>
    <w:p w14:paraId="31A32983" w14:textId="77777777" w:rsidR="00B5771C" w:rsidRDefault="00EF0FE8">
      <w:pPr>
        <w:pStyle w:val="a5"/>
        <w:numPr>
          <w:ilvl w:val="0"/>
          <w:numId w:val="1"/>
        </w:numPr>
        <w:tabs>
          <w:tab w:val="left" w:pos="360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пункте 105 слова «в случаях» заменить словами «в том числе в случаях»;</w:t>
      </w:r>
    </w:p>
    <w:p w14:paraId="5B7C605B" w14:textId="77777777" w:rsidR="00B5771C" w:rsidRDefault="00EF0FE8">
      <w:pPr>
        <w:pStyle w:val="a5"/>
        <w:numPr>
          <w:ilvl w:val="0"/>
          <w:numId w:val="1"/>
        </w:numPr>
        <w:tabs>
          <w:tab w:val="left" w:pos="360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части второй пункта 107 слова «действия (бездействие) МФЦ» заменить словами «действия (бездействие) МФЦ, его руководителя».</w:t>
      </w:r>
    </w:p>
    <w:p w14:paraId="4D895943" w14:textId="77777777" w:rsidR="00B5771C" w:rsidRDefault="00EF0FE8">
      <w:pPr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lastRenderedPageBreak/>
        <w:t>2. Настоящий приказ опубликовать на «Официальном интернет-портале правовой информации Свердловской области» (</w:t>
      </w:r>
      <w:hyperlink r:id="rId7" w:history="1">
        <w:r>
          <w:rPr>
            <w:rFonts w:ascii="Liberation Serif" w:hAnsi="Liberation Serif" w:cs="Liberation Serif"/>
            <w:sz w:val="28"/>
            <w:szCs w:val="28"/>
          </w:rPr>
          <w:t>www.pravo.gov66.ru</w:t>
        </w:r>
      </w:hyperlink>
      <w:r>
        <w:rPr>
          <w:rFonts w:ascii="Liberation Serif" w:hAnsi="Liberation Serif" w:cs="Liberation Serif"/>
          <w:sz w:val="28"/>
          <w:szCs w:val="28"/>
        </w:rPr>
        <w:t>).</w:t>
      </w:r>
    </w:p>
    <w:p w14:paraId="29324B8A" w14:textId="77777777" w:rsidR="00B5771C" w:rsidRDefault="00B5771C">
      <w:pPr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0988ABB4" w14:textId="77777777" w:rsidR="00B5771C" w:rsidRDefault="00B5771C">
      <w:pPr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5B2FBF34" w14:textId="77777777" w:rsidR="00B5771C" w:rsidRDefault="00EF0FE8">
      <w:pPr>
        <w:autoSpaceDE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Министр                                                                                                      А.В. Злоказов</w:t>
      </w:r>
    </w:p>
    <w:p w14:paraId="51C70B2D" w14:textId="77777777" w:rsidR="00B5771C" w:rsidRDefault="00B5771C">
      <w:pPr>
        <w:pageBreakBefore/>
        <w:spacing w:after="200" w:line="276" w:lineRule="auto"/>
        <w:rPr>
          <w:rFonts w:ascii="Liberation Serif" w:hAnsi="Liberation Serif" w:cs="Liberation Serif"/>
          <w:sz w:val="28"/>
          <w:szCs w:val="28"/>
        </w:rPr>
        <w:sectPr w:rsidR="00B5771C">
          <w:headerReference w:type="default" r:id="rId8"/>
          <w:pgSz w:w="11906" w:h="16838"/>
          <w:pgMar w:top="1134" w:right="567" w:bottom="1134" w:left="1418" w:header="709" w:footer="709" w:gutter="0"/>
          <w:cols w:space="720"/>
          <w:titlePg/>
        </w:sectPr>
      </w:pPr>
    </w:p>
    <w:p w14:paraId="5C049CA8" w14:textId="77777777" w:rsidR="00B5771C" w:rsidRDefault="00EF0FE8">
      <w:pPr>
        <w:jc w:val="center"/>
        <w:rPr>
          <w:rFonts w:ascii="Liberation Serif" w:hAnsi="Liberation Serif" w:cs="Liberation Serif"/>
          <w:b/>
          <w:spacing w:val="60"/>
          <w:szCs w:val="22"/>
        </w:rPr>
      </w:pPr>
      <w:r>
        <w:rPr>
          <w:rFonts w:ascii="Liberation Serif" w:hAnsi="Liberation Serif" w:cs="Liberation Serif"/>
          <w:b/>
          <w:spacing w:val="60"/>
          <w:szCs w:val="22"/>
        </w:rPr>
        <w:lastRenderedPageBreak/>
        <w:t>ЛИСТ СОГЛАСОВАНИЯ</w:t>
      </w:r>
    </w:p>
    <w:p w14:paraId="37FAB4AB" w14:textId="77777777" w:rsidR="00B5771C" w:rsidRDefault="00EF0FE8">
      <w:pPr>
        <w:jc w:val="center"/>
        <w:rPr>
          <w:rFonts w:ascii="Liberation Serif" w:hAnsi="Liberation Serif" w:cs="Liberation Serif"/>
          <w:b/>
          <w:spacing w:val="-6"/>
          <w:sz w:val="22"/>
          <w:szCs w:val="22"/>
        </w:rPr>
      </w:pPr>
      <w:r>
        <w:rPr>
          <w:rFonts w:ascii="Liberation Serif" w:hAnsi="Liberation Serif" w:cs="Liberation Serif"/>
          <w:b/>
          <w:spacing w:val="-6"/>
          <w:sz w:val="22"/>
          <w:szCs w:val="22"/>
        </w:rPr>
        <w:t xml:space="preserve">проекта приказа Министерства социальной политики Свердловской области </w:t>
      </w:r>
    </w:p>
    <w:tbl>
      <w:tblPr>
        <w:tblW w:w="9815" w:type="dxa"/>
        <w:tblInd w:w="2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77"/>
        <w:gridCol w:w="208"/>
        <w:gridCol w:w="2232"/>
        <w:gridCol w:w="1853"/>
        <w:gridCol w:w="1634"/>
        <w:gridCol w:w="1511"/>
      </w:tblGrid>
      <w:tr w:rsidR="00B5771C" w14:paraId="0073939B" w14:textId="77777777">
        <w:trPr>
          <w:trHeight w:val="2137"/>
        </w:trPr>
        <w:tc>
          <w:tcPr>
            <w:tcW w:w="258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1E395" w14:textId="77777777" w:rsidR="00B5771C" w:rsidRDefault="00B5771C">
            <w:pPr>
              <w:jc w:val="center"/>
              <w:rPr>
                <w:rFonts w:ascii="Liberation Serif" w:hAnsi="Liberation Serif" w:cs="Liberation Serif"/>
              </w:rPr>
            </w:pPr>
          </w:p>
          <w:p w14:paraId="05B48E58" w14:textId="77777777" w:rsidR="00B5771C" w:rsidRDefault="00EF0FE8">
            <w:r>
              <w:rPr>
                <w:rFonts w:ascii="Liberation Serif" w:hAnsi="Liberation Serif" w:cs="Liberation Serif"/>
                <w:sz w:val="22"/>
                <w:szCs w:val="22"/>
              </w:rPr>
              <w:t>Наименование проекта:</w:t>
            </w:r>
          </w:p>
        </w:tc>
        <w:tc>
          <w:tcPr>
            <w:tcW w:w="7230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576D2" w14:textId="77777777" w:rsidR="00B5771C" w:rsidRDefault="00B5771C">
            <w:pPr>
              <w:autoSpaceDE w:val="0"/>
              <w:rPr>
                <w:rFonts w:ascii="Liberation Serif" w:hAnsi="Liberation Serif" w:cs="Liberation Serif"/>
                <w:b/>
                <w:bCs/>
                <w:iCs/>
              </w:rPr>
            </w:pPr>
          </w:p>
          <w:p w14:paraId="046C409E" w14:textId="77777777" w:rsidR="00B5771C" w:rsidRDefault="00EF0FE8">
            <w:pPr>
              <w:autoSpaceDE w:val="0"/>
              <w:spacing w:line="232" w:lineRule="auto"/>
              <w:rPr>
                <w:rFonts w:ascii="Liberation Serif" w:hAnsi="Liberation Serif" w:cs="Liberation Serif"/>
                <w:b/>
                <w:bCs/>
                <w:iCs/>
              </w:rPr>
            </w:pPr>
            <w:r>
              <w:rPr>
                <w:rFonts w:ascii="Liberation Serif" w:hAnsi="Liberation Serif" w:cs="Liberation Serif"/>
                <w:b/>
                <w:bCs/>
                <w:iCs/>
                <w:sz w:val="22"/>
                <w:szCs w:val="22"/>
              </w:rPr>
              <w:t xml:space="preserve">«О внесении изменений в Административный регламент предоставления территориальными отраслевыми исполнительными органами государственной власти Свердловской области – управлениями социальной политики Министерства социальной политики Свердловской области государственной услуги «Назначение пособия на проведение летнего оздоровительного отдыха детей отдельных категорий военнослужащих </w:t>
            </w:r>
          </w:p>
          <w:p w14:paraId="47F79748" w14:textId="77777777" w:rsidR="00B5771C" w:rsidRDefault="00EF0FE8">
            <w:pPr>
              <w:autoSpaceDE w:val="0"/>
              <w:spacing w:line="232" w:lineRule="auto"/>
            </w:pPr>
            <w:r>
              <w:rPr>
                <w:rFonts w:ascii="Liberation Serif" w:hAnsi="Liberation Serif" w:cs="Liberation Serif"/>
                <w:b/>
                <w:bCs/>
                <w:iCs/>
                <w:sz w:val="22"/>
                <w:szCs w:val="22"/>
              </w:rPr>
              <w:t>и сотрудников некоторых федеральных органов исполнительной власти, погибших (умерших), пропавших без вести, ставших инвалидами в связи с выполнением задач в условиях вооруженного конфликта немеждународного характера в Чеченской Республике и на непосредственно прилегающих к ней территориях Северного Кавказа, отнесенных к зоне вооруженного конфликта, а также в связи с выполнением задач в ходе контртеррористических операций на территории Северо-Кавказского региона, пенсионное обеспечение которых осуществляется Пенсионным фондом Российской Федерации», утвержденный приказом Министерства социальной политики Свердловской области от 11.02.2020 № 92»</w:t>
            </w:r>
          </w:p>
        </w:tc>
      </w:tr>
      <w:tr w:rsidR="00B5771C" w14:paraId="2D721C49" w14:textId="77777777">
        <w:trPr>
          <w:cantSplit/>
          <w:trHeight w:val="318"/>
        </w:trPr>
        <w:tc>
          <w:tcPr>
            <w:tcW w:w="2377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F24ABE" w14:textId="77777777" w:rsidR="00B5771C" w:rsidRDefault="00EF0FE8">
            <w:pPr>
              <w:jc w:val="center"/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ab/>
            </w:r>
          </w:p>
          <w:p w14:paraId="262A4606" w14:textId="77777777" w:rsidR="00B5771C" w:rsidRDefault="00B5771C">
            <w:pPr>
              <w:jc w:val="center"/>
              <w:rPr>
                <w:rFonts w:ascii="Liberation Serif" w:hAnsi="Liberation Serif" w:cs="Liberation Serif"/>
                <w:spacing w:val="-6"/>
              </w:rPr>
            </w:pPr>
          </w:p>
          <w:p w14:paraId="3ECD21E1" w14:textId="77777777" w:rsidR="00B5771C" w:rsidRDefault="00EF0FE8">
            <w:pPr>
              <w:jc w:val="center"/>
            </w:pPr>
            <w:r>
              <w:rPr>
                <w:rFonts w:ascii="Liberation Serif" w:hAnsi="Liberation Serif" w:cs="Liberation Serif"/>
                <w:spacing w:val="-6"/>
                <w:sz w:val="22"/>
                <w:szCs w:val="22"/>
              </w:rPr>
              <w:t>Должность</w:t>
            </w:r>
          </w:p>
          <w:p w14:paraId="5E999C70" w14:textId="77777777" w:rsidR="00B5771C" w:rsidRDefault="00B5771C">
            <w:pPr>
              <w:spacing w:line="160" w:lineRule="exact"/>
              <w:jc w:val="center"/>
              <w:rPr>
                <w:rFonts w:ascii="Liberation Serif" w:hAnsi="Liberation Serif" w:cs="Liberation Serif"/>
                <w:spacing w:val="-6"/>
              </w:rPr>
            </w:pPr>
          </w:p>
          <w:p w14:paraId="46135D83" w14:textId="77777777" w:rsidR="00B5771C" w:rsidRDefault="00B5771C">
            <w:pPr>
              <w:spacing w:line="160" w:lineRule="exact"/>
              <w:jc w:val="center"/>
              <w:rPr>
                <w:rFonts w:ascii="Liberation Serif" w:hAnsi="Liberation Serif" w:cs="Liberation Serif"/>
                <w:spacing w:val="-6"/>
              </w:rPr>
            </w:pPr>
          </w:p>
          <w:p w14:paraId="6FF748D9" w14:textId="77777777" w:rsidR="00B5771C" w:rsidRDefault="00B5771C">
            <w:pPr>
              <w:spacing w:line="160" w:lineRule="exact"/>
              <w:jc w:val="center"/>
              <w:rPr>
                <w:rFonts w:ascii="Liberation Serif" w:hAnsi="Liberation Serif" w:cs="Liberation Serif"/>
                <w:spacing w:val="-6"/>
              </w:rPr>
            </w:pPr>
          </w:p>
        </w:tc>
        <w:tc>
          <w:tcPr>
            <w:tcW w:w="244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B29A00" w14:textId="77777777" w:rsidR="00B5771C" w:rsidRDefault="00B5771C">
            <w:pPr>
              <w:jc w:val="center"/>
              <w:rPr>
                <w:rFonts w:ascii="Liberation Serif" w:hAnsi="Liberation Serif" w:cs="Liberation Serif"/>
                <w:spacing w:val="-6"/>
              </w:rPr>
            </w:pPr>
          </w:p>
          <w:p w14:paraId="6ACAE4DD" w14:textId="77777777" w:rsidR="00B5771C" w:rsidRDefault="00B5771C">
            <w:pPr>
              <w:jc w:val="center"/>
              <w:rPr>
                <w:rFonts w:ascii="Liberation Serif" w:hAnsi="Liberation Serif" w:cs="Liberation Serif"/>
                <w:spacing w:val="-6"/>
              </w:rPr>
            </w:pPr>
          </w:p>
          <w:p w14:paraId="04BADDA9" w14:textId="77777777" w:rsidR="00B5771C" w:rsidRDefault="00EF0FE8">
            <w:pPr>
              <w:jc w:val="center"/>
            </w:pPr>
            <w:r>
              <w:rPr>
                <w:rFonts w:ascii="Liberation Serif" w:hAnsi="Liberation Serif" w:cs="Liberation Serif"/>
                <w:spacing w:val="-6"/>
                <w:sz w:val="22"/>
                <w:szCs w:val="22"/>
              </w:rPr>
              <w:t>Фамилия и инициалы</w:t>
            </w:r>
          </w:p>
        </w:tc>
        <w:tc>
          <w:tcPr>
            <w:tcW w:w="49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D65B1D" w14:textId="77777777" w:rsidR="00B5771C" w:rsidRDefault="00EF0FE8">
            <w:pPr>
              <w:keepNext/>
              <w:jc w:val="center"/>
            </w:pPr>
            <w:r>
              <w:rPr>
                <w:rFonts w:ascii="Liberation Serif" w:hAnsi="Liberation Serif" w:cs="Liberation Serif"/>
                <w:spacing w:val="-6"/>
                <w:sz w:val="22"/>
                <w:szCs w:val="22"/>
              </w:rPr>
              <w:t>Сроки и результаты согласования</w:t>
            </w:r>
          </w:p>
        </w:tc>
      </w:tr>
      <w:tr w:rsidR="00B5771C" w14:paraId="078B8B11" w14:textId="77777777">
        <w:trPr>
          <w:cantSplit/>
          <w:trHeight w:val="993"/>
        </w:trPr>
        <w:tc>
          <w:tcPr>
            <w:tcW w:w="2377" w:type="dxa"/>
            <w:vMerge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B3F191" w14:textId="77777777" w:rsidR="00B5771C" w:rsidRDefault="00B5771C">
            <w:pPr>
              <w:spacing w:line="160" w:lineRule="exact"/>
              <w:jc w:val="center"/>
              <w:rPr>
                <w:rFonts w:ascii="Liberation Serif" w:hAnsi="Liberation Serif" w:cs="Liberation Serif"/>
                <w:spacing w:val="-6"/>
              </w:rPr>
            </w:pPr>
          </w:p>
        </w:tc>
        <w:tc>
          <w:tcPr>
            <w:tcW w:w="244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47015F" w14:textId="77777777" w:rsidR="00B5771C" w:rsidRDefault="00B5771C">
            <w:pPr>
              <w:spacing w:line="160" w:lineRule="exact"/>
              <w:jc w:val="center"/>
              <w:rPr>
                <w:rFonts w:ascii="Liberation Serif" w:hAnsi="Liberation Serif" w:cs="Liberation Serif"/>
                <w:spacing w:val="-6"/>
              </w:rPr>
            </w:pP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0C6E1A" w14:textId="77777777" w:rsidR="00B5771C" w:rsidRDefault="00EF0FE8">
            <w:pPr>
              <w:jc w:val="center"/>
            </w:pPr>
            <w:r>
              <w:rPr>
                <w:rFonts w:ascii="Liberation Serif" w:hAnsi="Liberation Serif" w:cs="Liberation Serif"/>
                <w:spacing w:val="-6"/>
                <w:sz w:val="22"/>
                <w:szCs w:val="22"/>
              </w:rPr>
              <w:t xml:space="preserve">Дата </w:t>
            </w:r>
          </w:p>
          <w:p w14:paraId="3DE8DE6C" w14:textId="77777777" w:rsidR="00B5771C" w:rsidRDefault="00EF0FE8">
            <w:pPr>
              <w:jc w:val="center"/>
            </w:pPr>
            <w:r>
              <w:rPr>
                <w:rFonts w:ascii="Liberation Serif" w:hAnsi="Liberation Serif" w:cs="Liberation Serif"/>
                <w:spacing w:val="-6"/>
                <w:sz w:val="22"/>
                <w:szCs w:val="22"/>
              </w:rPr>
              <w:t xml:space="preserve">поступления </w:t>
            </w:r>
          </w:p>
          <w:p w14:paraId="29A99C31" w14:textId="77777777" w:rsidR="00B5771C" w:rsidRDefault="00EF0FE8">
            <w:pPr>
              <w:jc w:val="center"/>
            </w:pPr>
            <w:r>
              <w:rPr>
                <w:rFonts w:ascii="Liberation Serif" w:hAnsi="Liberation Serif" w:cs="Liberation Serif"/>
                <w:spacing w:val="-6"/>
                <w:sz w:val="22"/>
                <w:szCs w:val="22"/>
              </w:rPr>
              <w:t>на</w:t>
            </w:r>
          </w:p>
          <w:p w14:paraId="6AD9DE29" w14:textId="77777777" w:rsidR="00B5771C" w:rsidRDefault="00EF0FE8">
            <w:pPr>
              <w:jc w:val="center"/>
            </w:pPr>
            <w:r>
              <w:rPr>
                <w:rFonts w:ascii="Liberation Serif" w:hAnsi="Liberation Serif" w:cs="Liberation Serif"/>
                <w:spacing w:val="-6"/>
                <w:sz w:val="22"/>
                <w:szCs w:val="22"/>
              </w:rPr>
              <w:t>согласование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2CCD58" w14:textId="77777777" w:rsidR="00B5771C" w:rsidRDefault="00EF0FE8">
            <w:pPr>
              <w:jc w:val="center"/>
            </w:pPr>
            <w:r>
              <w:rPr>
                <w:rFonts w:ascii="Liberation Serif" w:hAnsi="Liberation Serif" w:cs="Liberation Serif"/>
                <w:spacing w:val="-6"/>
                <w:sz w:val="22"/>
                <w:szCs w:val="22"/>
              </w:rPr>
              <w:t>Дата</w:t>
            </w:r>
          </w:p>
          <w:p w14:paraId="28CE8BF3" w14:textId="77777777" w:rsidR="00B5771C" w:rsidRDefault="00EF0FE8">
            <w:pPr>
              <w:jc w:val="center"/>
            </w:pPr>
            <w:r>
              <w:rPr>
                <w:rFonts w:ascii="Liberation Serif" w:hAnsi="Liberation Serif" w:cs="Liberation Serif"/>
                <w:spacing w:val="-6"/>
                <w:sz w:val="22"/>
                <w:szCs w:val="22"/>
              </w:rPr>
              <w:t>согласования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DBC119" w14:textId="77777777" w:rsidR="00B5771C" w:rsidRDefault="00EF0FE8">
            <w:pPr>
              <w:spacing w:line="280" w:lineRule="exact"/>
              <w:jc w:val="center"/>
            </w:pPr>
            <w:r>
              <w:rPr>
                <w:rFonts w:ascii="Liberation Serif" w:hAnsi="Liberation Serif" w:cs="Liberation Serif"/>
                <w:spacing w:val="-6"/>
                <w:sz w:val="22"/>
                <w:szCs w:val="22"/>
              </w:rPr>
              <w:t>Замечания и подпись</w:t>
            </w:r>
          </w:p>
        </w:tc>
      </w:tr>
      <w:tr w:rsidR="00B5771C" w14:paraId="20838DC1" w14:textId="77777777">
        <w:trPr>
          <w:trHeight w:val="425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62BA62" w14:textId="77777777" w:rsidR="00B5771C" w:rsidRDefault="00EF0FE8">
            <w:r>
              <w:rPr>
                <w:rFonts w:ascii="Liberation Serif" w:hAnsi="Liberation Serif" w:cs="Liberation Serif"/>
                <w:spacing w:val="-6"/>
                <w:sz w:val="22"/>
                <w:szCs w:val="22"/>
              </w:rPr>
              <w:t xml:space="preserve">Первый заместитель Министра социальной политики </w:t>
            </w:r>
          </w:p>
          <w:p w14:paraId="599505B6" w14:textId="77777777" w:rsidR="00B5771C" w:rsidRDefault="00EF0FE8">
            <w:r>
              <w:rPr>
                <w:rFonts w:ascii="Liberation Serif" w:hAnsi="Liberation Serif" w:cs="Liberation Serif"/>
                <w:spacing w:val="-6"/>
                <w:sz w:val="22"/>
                <w:szCs w:val="22"/>
              </w:rPr>
              <w:t>Свердловской области</w:t>
            </w:r>
          </w:p>
        </w:tc>
        <w:tc>
          <w:tcPr>
            <w:tcW w:w="244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08F53A" w14:textId="77777777" w:rsidR="00B5771C" w:rsidRDefault="00EF0FE8">
            <w:pPr>
              <w:jc w:val="center"/>
            </w:pPr>
            <w:r>
              <w:rPr>
                <w:rFonts w:ascii="Liberation Serif" w:hAnsi="Liberation Serif" w:cs="Liberation Serif"/>
                <w:spacing w:val="-6"/>
                <w:sz w:val="22"/>
                <w:szCs w:val="22"/>
              </w:rPr>
              <w:t>Е.Д. Шаповалов</w:t>
            </w: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B4914F" w14:textId="77777777" w:rsidR="00B5771C" w:rsidRDefault="00B5771C">
            <w:pPr>
              <w:jc w:val="center"/>
              <w:rPr>
                <w:rFonts w:ascii="Liberation Serif" w:hAnsi="Liberation Serif" w:cs="Liberation Serif"/>
                <w:spacing w:val="-6"/>
              </w:rPr>
            </w:pP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373201" w14:textId="77777777" w:rsidR="00B5771C" w:rsidRDefault="00B5771C">
            <w:pPr>
              <w:rPr>
                <w:rFonts w:ascii="Liberation Serif" w:hAnsi="Liberation Serif" w:cs="Liberation Serif"/>
                <w:spacing w:val="-6"/>
              </w:rPr>
            </w:pP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8633F1" w14:textId="77777777" w:rsidR="00B5771C" w:rsidRDefault="00B5771C">
            <w:pPr>
              <w:rPr>
                <w:rFonts w:ascii="Liberation Serif" w:hAnsi="Liberation Serif" w:cs="Liberation Serif"/>
                <w:spacing w:val="-6"/>
              </w:rPr>
            </w:pPr>
          </w:p>
        </w:tc>
      </w:tr>
      <w:tr w:rsidR="00B5771C" w14:paraId="21AE0741" w14:textId="77777777">
        <w:trPr>
          <w:trHeight w:val="333"/>
        </w:trPr>
        <w:tc>
          <w:tcPr>
            <w:tcW w:w="237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E1D97C" w14:textId="77777777" w:rsidR="00B5771C" w:rsidRDefault="00B5771C">
            <w:pPr>
              <w:rPr>
                <w:rFonts w:ascii="Liberation Serif" w:hAnsi="Liberation Serif" w:cs="Liberation Serif"/>
                <w:spacing w:val="-6"/>
              </w:rPr>
            </w:pPr>
          </w:p>
        </w:tc>
        <w:tc>
          <w:tcPr>
            <w:tcW w:w="2440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6168FB" w14:textId="77777777" w:rsidR="00B5771C" w:rsidRDefault="00B5771C">
            <w:pPr>
              <w:rPr>
                <w:rFonts w:ascii="Liberation Serif" w:hAnsi="Liberation Serif" w:cs="Liberation Serif"/>
                <w:spacing w:val="-6"/>
              </w:rPr>
            </w:pPr>
          </w:p>
        </w:tc>
        <w:tc>
          <w:tcPr>
            <w:tcW w:w="185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050D45" w14:textId="77777777" w:rsidR="00B5771C" w:rsidRDefault="00B5771C">
            <w:pPr>
              <w:jc w:val="center"/>
              <w:rPr>
                <w:rFonts w:ascii="Liberation Serif" w:hAnsi="Liberation Serif" w:cs="Liberation Serif"/>
                <w:spacing w:val="-6"/>
              </w:rPr>
            </w:pPr>
          </w:p>
        </w:tc>
        <w:tc>
          <w:tcPr>
            <w:tcW w:w="163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DAF0BA" w14:textId="77777777" w:rsidR="00B5771C" w:rsidRDefault="00B5771C">
            <w:pPr>
              <w:rPr>
                <w:rFonts w:ascii="Liberation Serif" w:hAnsi="Liberation Serif" w:cs="Liberation Serif"/>
                <w:spacing w:val="-6"/>
              </w:rPr>
            </w:pPr>
          </w:p>
        </w:tc>
        <w:tc>
          <w:tcPr>
            <w:tcW w:w="151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51DD93" w14:textId="77777777" w:rsidR="00B5771C" w:rsidRDefault="00B5771C">
            <w:pPr>
              <w:rPr>
                <w:rFonts w:ascii="Liberation Serif" w:hAnsi="Liberation Serif" w:cs="Liberation Serif"/>
                <w:spacing w:val="-6"/>
              </w:rPr>
            </w:pPr>
          </w:p>
        </w:tc>
      </w:tr>
      <w:tr w:rsidR="00B5771C" w14:paraId="54396AF7" w14:textId="77777777">
        <w:trPr>
          <w:trHeight w:val="346"/>
        </w:trPr>
        <w:tc>
          <w:tcPr>
            <w:tcW w:w="237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58FA98" w14:textId="77777777" w:rsidR="00B5771C" w:rsidRDefault="00EF0FE8">
            <w:pPr>
              <w:jc w:val="both"/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Ответственный за содержание проекта:</w:t>
            </w:r>
          </w:p>
          <w:p w14:paraId="6C92529D" w14:textId="77777777" w:rsidR="00B5771C" w:rsidRDefault="00B5771C">
            <w:pPr>
              <w:jc w:val="both"/>
              <w:rPr>
                <w:rFonts w:ascii="Liberation Serif" w:hAnsi="Liberation Serif" w:cs="Liberation Serif"/>
                <w:spacing w:val="-6"/>
              </w:rPr>
            </w:pPr>
          </w:p>
        </w:tc>
        <w:tc>
          <w:tcPr>
            <w:tcW w:w="7438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78301F" w14:textId="77777777" w:rsidR="00B5771C" w:rsidRDefault="00EF0FE8">
            <w:pPr>
              <w:jc w:val="both"/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Начальник отдела обеспечения и контроля социальных выплат Э.Р. Андреева </w:t>
            </w:r>
          </w:p>
          <w:p w14:paraId="51DADC11" w14:textId="77777777" w:rsidR="00B5771C" w:rsidRDefault="00B5771C">
            <w:pPr>
              <w:jc w:val="both"/>
              <w:rPr>
                <w:rFonts w:ascii="Liberation Serif" w:hAnsi="Liberation Serif" w:cs="Liberation Serif"/>
                <w:spacing w:val="-6"/>
              </w:rPr>
            </w:pPr>
          </w:p>
        </w:tc>
      </w:tr>
      <w:tr w:rsidR="00B5771C" w14:paraId="56EF4933" w14:textId="77777777">
        <w:trPr>
          <w:trHeight w:val="939"/>
        </w:trPr>
        <w:tc>
          <w:tcPr>
            <w:tcW w:w="237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C96A0F" w14:textId="77777777" w:rsidR="00B5771C" w:rsidRDefault="00EF0FE8">
            <w:r>
              <w:rPr>
                <w:rFonts w:ascii="Liberation Serif" w:hAnsi="Liberation Serif" w:cs="Liberation Serif"/>
                <w:sz w:val="22"/>
                <w:szCs w:val="22"/>
              </w:rPr>
              <w:t>Исполнитель:</w:t>
            </w:r>
          </w:p>
        </w:tc>
        <w:tc>
          <w:tcPr>
            <w:tcW w:w="7438" w:type="dxa"/>
            <w:gridSpan w:val="5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F6A39A" w14:textId="77777777" w:rsidR="00B5771C" w:rsidRDefault="00EF0FE8">
            <w:pPr>
              <w:jc w:val="both"/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Никонова Елена Львовна, главный специалист отдела обеспечения и контроля социальных выплат, (343) 312-00-08 (доб. 118)</w:t>
            </w:r>
          </w:p>
        </w:tc>
      </w:tr>
    </w:tbl>
    <w:p w14:paraId="34D805EA" w14:textId="77777777" w:rsidR="00B5771C" w:rsidRDefault="00B5771C">
      <w:pPr>
        <w:rPr>
          <w:rFonts w:ascii="Liberation Serif" w:hAnsi="Liberation Serif" w:cs="Liberation Serif"/>
          <w:b/>
          <w:sz w:val="28"/>
        </w:rPr>
      </w:pPr>
    </w:p>
    <w:p w14:paraId="5E67BA6C" w14:textId="77777777" w:rsidR="00B5771C" w:rsidRDefault="00B5771C">
      <w:pPr>
        <w:rPr>
          <w:rFonts w:ascii="Liberation Serif" w:hAnsi="Liberation Serif" w:cs="Liberation Serif"/>
          <w:b/>
          <w:sz w:val="28"/>
        </w:rPr>
      </w:pPr>
    </w:p>
    <w:p w14:paraId="4C67A7F6" w14:textId="77777777" w:rsidR="00B5771C" w:rsidRDefault="00B5771C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sectPr w:rsidR="00B5771C">
      <w:headerReference w:type="default" r:id="rId9"/>
      <w:headerReference w:type="first" r:id="rId10"/>
      <w:pgSz w:w="11906" w:h="16838"/>
      <w:pgMar w:top="1134" w:right="1418" w:bottom="1134" w:left="567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0D7E27" w14:textId="77777777" w:rsidR="003F262D" w:rsidRDefault="003F262D">
      <w:r>
        <w:separator/>
      </w:r>
    </w:p>
  </w:endnote>
  <w:endnote w:type="continuationSeparator" w:id="0">
    <w:p w14:paraId="21A072ED" w14:textId="77777777" w:rsidR="003F262D" w:rsidRDefault="003F2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5EE65D" w14:textId="77777777" w:rsidR="003F262D" w:rsidRDefault="003F262D">
      <w:r>
        <w:rPr>
          <w:color w:val="000000"/>
        </w:rPr>
        <w:separator/>
      </w:r>
    </w:p>
  </w:footnote>
  <w:footnote w:type="continuationSeparator" w:id="0">
    <w:p w14:paraId="30D588FF" w14:textId="77777777" w:rsidR="003F262D" w:rsidRDefault="003F26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C46C0F" w14:textId="77777777" w:rsidR="00471931" w:rsidRDefault="00EF0FE8">
    <w:pPr>
      <w:pStyle w:val="a6"/>
      <w:jc w:val="center"/>
    </w:pPr>
    <w:r>
      <w:rPr>
        <w:rFonts w:ascii="Liberation Serif" w:hAnsi="Liberation Serif" w:cs="Liberation Serif"/>
        <w:sz w:val="28"/>
        <w:szCs w:val="28"/>
      </w:rPr>
      <w:fldChar w:fldCharType="begin"/>
    </w:r>
    <w:r>
      <w:rPr>
        <w:rFonts w:ascii="Liberation Serif" w:hAnsi="Liberation Serif" w:cs="Liberation Serif"/>
        <w:sz w:val="28"/>
        <w:szCs w:val="28"/>
      </w:rPr>
      <w:instrText xml:space="preserve"> PAGE </w:instrText>
    </w:r>
    <w:r>
      <w:rPr>
        <w:rFonts w:ascii="Liberation Serif" w:hAnsi="Liberation Serif" w:cs="Liberation Serif"/>
        <w:sz w:val="28"/>
        <w:szCs w:val="28"/>
      </w:rPr>
      <w:fldChar w:fldCharType="separate"/>
    </w:r>
    <w:r w:rsidR="00530932">
      <w:rPr>
        <w:rFonts w:ascii="Liberation Serif" w:hAnsi="Liberation Serif" w:cs="Liberation Serif"/>
        <w:noProof/>
        <w:sz w:val="28"/>
        <w:szCs w:val="28"/>
      </w:rPr>
      <w:t>7</w:t>
    </w:r>
    <w:r>
      <w:rPr>
        <w:rFonts w:ascii="Liberation Serif" w:hAnsi="Liberation Serif" w:cs="Liberation Serif"/>
        <w:sz w:val="28"/>
        <w:szCs w:val="28"/>
      </w:rPr>
      <w:fldChar w:fldCharType="end"/>
    </w:r>
  </w:p>
  <w:p w14:paraId="117253A5" w14:textId="77777777" w:rsidR="00471931" w:rsidRDefault="003F262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BA0C62" w14:textId="77777777" w:rsidR="00471931" w:rsidRDefault="00EF0FE8">
    <w:pPr>
      <w:pStyle w:val="a6"/>
      <w:jc w:val="center"/>
    </w:pPr>
    <w:r>
      <w:rPr>
        <w:rFonts w:ascii="Liberation Serif" w:hAnsi="Liberation Serif" w:cs="Liberation Serif"/>
        <w:sz w:val="28"/>
        <w:szCs w:val="28"/>
      </w:rPr>
      <w:fldChar w:fldCharType="begin"/>
    </w:r>
    <w:r>
      <w:rPr>
        <w:rFonts w:ascii="Liberation Serif" w:hAnsi="Liberation Serif" w:cs="Liberation Serif"/>
        <w:sz w:val="28"/>
        <w:szCs w:val="28"/>
      </w:rPr>
      <w:instrText xml:space="preserve"> PAGE </w:instrText>
    </w:r>
    <w:r>
      <w:rPr>
        <w:rFonts w:ascii="Liberation Serif" w:hAnsi="Liberation Serif" w:cs="Liberation Serif"/>
        <w:sz w:val="28"/>
        <w:szCs w:val="28"/>
      </w:rPr>
      <w:fldChar w:fldCharType="separate"/>
    </w:r>
    <w:r>
      <w:rPr>
        <w:rFonts w:ascii="Liberation Serif" w:hAnsi="Liberation Serif" w:cs="Liberation Serif"/>
        <w:sz w:val="28"/>
        <w:szCs w:val="28"/>
      </w:rPr>
      <w:t>2</w:t>
    </w:r>
    <w:r>
      <w:rPr>
        <w:rFonts w:ascii="Liberation Serif" w:hAnsi="Liberation Serif" w:cs="Liberation Serif"/>
        <w:sz w:val="28"/>
        <w:szCs w:val="28"/>
      </w:rPr>
      <w:fldChar w:fldCharType="end"/>
    </w:r>
  </w:p>
  <w:p w14:paraId="7B79D195" w14:textId="77777777" w:rsidR="00471931" w:rsidRDefault="003F262D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5982A6" w14:textId="77777777" w:rsidR="00471931" w:rsidRDefault="003F262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E121F"/>
    <w:multiLevelType w:val="multilevel"/>
    <w:tmpl w:val="C4E4DA04"/>
    <w:lvl w:ilvl="0">
      <w:start w:val="1"/>
      <w:numFmt w:val="decimal"/>
      <w:suff w:val="space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211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71C"/>
    <w:rsid w:val="000E5DAC"/>
    <w:rsid w:val="003F262D"/>
    <w:rsid w:val="00457602"/>
    <w:rsid w:val="00530932"/>
    <w:rsid w:val="00B5771C"/>
    <w:rsid w:val="00BF67F6"/>
    <w:rsid w:val="00C05B26"/>
    <w:rsid w:val="00EF0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40E97"/>
  <w15:docId w15:val="{3DFCE977-4447-43D2-A1D5-C47CA7773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rPr>
      <w:rFonts w:ascii="Tahoma" w:hAnsi="Tahoma" w:cs="Tahoma"/>
      <w:sz w:val="16"/>
      <w:szCs w:val="16"/>
    </w:rPr>
  </w:style>
  <w:style w:type="paragraph" w:customStyle="1" w:styleId="ConsPlusTitle">
    <w:name w:val="ConsPlusTitl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a5">
    <w:name w:val="List Paragraph"/>
    <w:basedOn w:val="a"/>
    <w:pPr>
      <w:ind w:left="720"/>
    </w:p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rPr>
      <w:color w:val="0000FF"/>
      <w:u w:val="single"/>
    </w:rPr>
  </w:style>
  <w:style w:type="character" w:styleId="ab">
    <w:name w:val="page number"/>
    <w:basedOn w:val="a0"/>
  </w:style>
  <w:style w:type="paragraph" w:customStyle="1" w:styleId="ConsNormal">
    <w:name w:val="ConsNormal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character" w:styleId="ac">
    <w:name w:val="annotation reference"/>
    <w:basedOn w:val="a0"/>
    <w:rPr>
      <w:sz w:val="16"/>
      <w:szCs w:val="16"/>
    </w:rPr>
  </w:style>
  <w:style w:type="paragraph" w:styleId="ad">
    <w:name w:val="annotation text"/>
    <w:basedOn w:val="a"/>
    <w:rPr>
      <w:sz w:val="20"/>
      <w:szCs w:val="20"/>
    </w:rPr>
  </w:style>
  <w:style w:type="character" w:customStyle="1" w:styleId="ae">
    <w:name w:val="Текст примечания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rPr>
      <w:b/>
      <w:bCs/>
    </w:rPr>
  </w:style>
  <w:style w:type="character" w:customStyle="1" w:styleId="af0">
    <w:name w:val="Тема примечания Знак"/>
    <w:basedOn w:val="a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Revision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pPr>
      <w:spacing w:before="100" w:after="100"/>
    </w:pPr>
  </w:style>
  <w:style w:type="paragraph" w:styleId="af2">
    <w:name w:val="footnote text"/>
    <w:basedOn w:val="a"/>
    <w:rPr>
      <w:sz w:val="20"/>
      <w:szCs w:val="20"/>
    </w:rPr>
  </w:style>
  <w:style w:type="character" w:customStyle="1" w:styleId="af3">
    <w:name w:val="Текст сноски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0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ravo.gov66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2673</Words>
  <Characters>15237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Панова Т.В.</dc:creator>
  <cp:lastModifiedBy>Никонова Елена Львовна</cp:lastModifiedBy>
  <cp:revision>3</cp:revision>
  <cp:lastPrinted>2019-11-18T09:42:00Z</cp:lastPrinted>
  <dcterms:created xsi:type="dcterms:W3CDTF">2020-06-01T04:35:00Z</dcterms:created>
  <dcterms:modified xsi:type="dcterms:W3CDTF">2020-06-01T04:37:00Z</dcterms:modified>
</cp:coreProperties>
</file>