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Утвержден</w:t>
      </w:r>
    </w:p>
    <w:bookmarkStart w:id="0" w:name="_GoBack"/>
    <w:bookmarkEnd w:id="0"/>
    <w:p w:rsidR="00EB6A55" w:rsidRDefault="005F7648">
      <w:pPr>
        <w:widowControl w:val="0"/>
        <w:autoSpaceDE w:val="0"/>
        <w:autoSpaceDN w:val="0"/>
        <w:adjustRightInd w:val="0"/>
        <w:spacing w:after="0" w:line="240" w:lineRule="auto"/>
        <w:jc w:val="right"/>
        <w:rPr>
          <w:rFonts w:ascii="Calibri" w:hAnsi="Calibri" w:cs="Calibri"/>
        </w:rPr>
      </w:pPr>
      <w:r>
        <w:fldChar w:fldCharType="begin"/>
      </w:r>
      <w:r>
        <w:instrText xml:space="preserve"> HYPERLINK "consultantplus://offline/ref=313CF025B996E9BCE8069B01C18A8305BD44DA2700610628EA30D3F7U7c6F" </w:instrText>
      </w:r>
      <w:r>
        <w:fldChar w:fldCharType="separate"/>
      </w:r>
      <w:r w:rsidR="00EB6A55">
        <w:rPr>
          <w:rFonts w:ascii="Calibri" w:hAnsi="Calibri" w:cs="Calibri"/>
          <w:color w:val="0000FF"/>
        </w:rPr>
        <w:t>Приказом</w:t>
      </w:r>
      <w:r>
        <w:rPr>
          <w:rFonts w:ascii="Calibri" w:hAnsi="Calibri" w:cs="Calibri"/>
          <w:color w:val="0000FF"/>
        </w:rPr>
        <w:fldChar w:fldCharType="end"/>
      </w:r>
      <w:r w:rsidR="00EB6A55">
        <w:rPr>
          <w:rFonts w:ascii="Calibri" w:hAnsi="Calibri" w:cs="Calibri"/>
        </w:rPr>
        <w:t xml:space="preserve"> Минрегиона России</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от 27 декабря 2011 г. N 605</w:t>
      </w:r>
    </w:p>
    <w:p w:rsidR="00EB6A55" w:rsidRDefault="00EB6A55">
      <w:pPr>
        <w:widowControl w:val="0"/>
        <w:autoSpaceDE w:val="0"/>
        <w:autoSpaceDN w:val="0"/>
        <w:adjustRightInd w:val="0"/>
        <w:spacing w:after="0" w:line="240" w:lineRule="auto"/>
        <w:jc w:val="both"/>
        <w:rPr>
          <w:rFonts w:ascii="Calibri" w:hAnsi="Calibri" w:cs="Calibri"/>
        </w:rPr>
      </w:pPr>
    </w:p>
    <w:p w:rsidR="00EB6A55" w:rsidRDefault="00EB6A55">
      <w:pPr>
        <w:pStyle w:val="ConsPlusTitle"/>
        <w:jc w:val="center"/>
        <w:rPr>
          <w:sz w:val="20"/>
          <w:szCs w:val="20"/>
        </w:rPr>
      </w:pPr>
      <w:r>
        <w:rPr>
          <w:sz w:val="20"/>
          <w:szCs w:val="20"/>
        </w:rPr>
        <w:t>СВОД ПРАВИЛ</w:t>
      </w:r>
    </w:p>
    <w:p w:rsidR="00EB6A55" w:rsidRDefault="00EB6A55">
      <w:pPr>
        <w:pStyle w:val="ConsPlusTitle"/>
        <w:jc w:val="center"/>
        <w:rPr>
          <w:sz w:val="20"/>
          <w:szCs w:val="20"/>
        </w:rPr>
      </w:pPr>
    </w:p>
    <w:p w:rsidR="00EB6A55" w:rsidRDefault="00EB6A55">
      <w:pPr>
        <w:pStyle w:val="ConsPlusTitle"/>
        <w:jc w:val="center"/>
        <w:rPr>
          <w:sz w:val="20"/>
          <w:szCs w:val="20"/>
        </w:rPr>
      </w:pPr>
      <w:r>
        <w:rPr>
          <w:sz w:val="20"/>
          <w:szCs w:val="20"/>
        </w:rPr>
        <w:t>ДОСТУПНОСТЬ ЗДАНИЙ И СООРУЖЕНИЙ</w:t>
      </w:r>
    </w:p>
    <w:p w:rsidR="00EB6A55" w:rsidRDefault="00EB6A55">
      <w:pPr>
        <w:pStyle w:val="ConsPlusTitle"/>
        <w:jc w:val="center"/>
        <w:rPr>
          <w:sz w:val="20"/>
          <w:szCs w:val="20"/>
        </w:rPr>
      </w:pPr>
      <w:r>
        <w:rPr>
          <w:sz w:val="20"/>
          <w:szCs w:val="20"/>
        </w:rPr>
        <w:t>ДЛЯ МАЛОМОБИЛЬНЫХ ГРУПП НАСЕЛЕНИЯ</w:t>
      </w:r>
    </w:p>
    <w:p w:rsidR="00EB6A55" w:rsidRDefault="00EB6A55">
      <w:pPr>
        <w:pStyle w:val="ConsPlusTitle"/>
        <w:jc w:val="center"/>
        <w:rPr>
          <w:sz w:val="20"/>
          <w:szCs w:val="20"/>
        </w:rPr>
      </w:pPr>
    </w:p>
    <w:p w:rsidR="00EB6A55" w:rsidRDefault="00EB6A55">
      <w:pPr>
        <w:pStyle w:val="ConsPlusTitle"/>
        <w:jc w:val="center"/>
        <w:rPr>
          <w:sz w:val="20"/>
          <w:szCs w:val="20"/>
        </w:rPr>
      </w:pPr>
      <w:r>
        <w:rPr>
          <w:sz w:val="20"/>
          <w:szCs w:val="20"/>
        </w:rPr>
        <w:t>АКТУАЛИЗИРОВАННАЯ РЕДАКЦИЯ СНиП 35-01-2001</w:t>
      </w:r>
    </w:p>
    <w:p w:rsidR="00EB6A55" w:rsidRDefault="00EB6A55">
      <w:pPr>
        <w:pStyle w:val="ConsPlusTitle"/>
        <w:jc w:val="center"/>
        <w:rPr>
          <w:sz w:val="20"/>
          <w:szCs w:val="20"/>
        </w:rPr>
      </w:pPr>
    </w:p>
    <w:p w:rsidR="00EB6A55" w:rsidRPr="00EB6A55" w:rsidRDefault="00EB6A55">
      <w:pPr>
        <w:pStyle w:val="ConsPlusTitle"/>
        <w:jc w:val="center"/>
        <w:rPr>
          <w:sz w:val="20"/>
          <w:szCs w:val="20"/>
          <w:lang w:val="en-US"/>
        </w:rPr>
      </w:pPr>
      <w:r w:rsidRPr="00EB6A55">
        <w:rPr>
          <w:sz w:val="20"/>
          <w:szCs w:val="20"/>
          <w:lang w:val="en-US"/>
        </w:rPr>
        <w:t>Accessibility of buildings and structures</w:t>
      </w:r>
    </w:p>
    <w:p w:rsidR="00EB6A55" w:rsidRPr="00EB6A55" w:rsidRDefault="00EB6A55">
      <w:pPr>
        <w:pStyle w:val="ConsPlusTitle"/>
        <w:jc w:val="center"/>
        <w:rPr>
          <w:sz w:val="20"/>
          <w:szCs w:val="20"/>
          <w:lang w:val="en-US"/>
        </w:rPr>
      </w:pPr>
      <w:r w:rsidRPr="00EB6A55">
        <w:rPr>
          <w:sz w:val="20"/>
          <w:szCs w:val="20"/>
          <w:lang w:val="en-US"/>
        </w:rPr>
        <w:t>for persons with disabilities and persons</w:t>
      </w:r>
    </w:p>
    <w:p w:rsidR="00EB6A55" w:rsidRPr="00EB6A55" w:rsidRDefault="00EB6A55">
      <w:pPr>
        <w:pStyle w:val="ConsPlusTitle"/>
        <w:jc w:val="center"/>
        <w:rPr>
          <w:sz w:val="20"/>
          <w:szCs w:val="20"/>
          <w:lang w:val="en-US"/>
        </w:rPr>
      </w:pPr>
      <w:r w:rsidRPr="00EB6A55">
        <w:rPr>
          <w:sz w:val="20"/>
          <w:szCs w:val="20"/>
          <w:lang w:val="en-US"/>
        </w:rPr>
        <w:t>with reduced mobility</w:t>
      </w:r>
    </w:p>
    <w:p w:rsidR="00EB6A55" w:rsidRPr="00EB6A55" w:rsidRDefault="00EB6A55">
      <w:pPr>
        <w:pStyle w:val="ConsPlusTitle"/>
        <w:jc w:val="center"/>
        <w:rPr>
          <w:sz w:val="20"/>
          <w:szCs w:val="20"/>
          <w:lang w:val="en-US"/>
        </w:rPr>
      </w:pPr>
    </w:p>
    <w:p w:rsidR="00EB6A55" w:rsidRPr="00EB6A55" w:rsidRDefault="00EB6A55">
      <w:pPr>
        <w:pStyle w:val="ConsPlusTitle"/>
        <w:jc w:val="center"/>
        <w:rPr>
          <w:sz w:val="20"/>
          <w:szCs w:val="20"/>
          <w:lang w:val="en-US"/>
        </w:rPr>
      </w:pPr>
      <w:r>
        <w:rPr>
          <w:sz w:val="20"/>
          <w:szCs w:val="20"/>
        </w:rPr>
        <w:t>СП</w:t>
      </w:r>
      <w:r w:rsidRPr="00EB6A55">
        <w:rPr>
          <w:sz w:val="20"/>
          <w:szCs w:val="20"/>
          <w:lang w:val="en-US"/>
        </w:rPr>
        <w:t xml:space="preserve"> 59.13330.2012</w:t>
      </w:r>
    </w:p>
    <w:p w:rsidR="00EB6A55" w:rsidRPr="00EB6A55" w:rsidRDefault="00EB6A55">
      <w:pPr>
        <w:widowControl w:val="0"/>
        <w:autoSpaceDE w:val="0"/>
        <w:autoSpaceDN w:val="0"/>
        <w:adjustRightInd w:val="0"/>
        <w:spacing w:after="0" w:line="240" w:lineRule="auto"/>
        <w:ind w:firstLine="540"/>
        <w:jc w:val="both"/>
        <w:rPr>
          <w:rFonts w:ascii="Calibri" w:hAnsi="Calibri" w:cs="Calibri"/>
          <w:sz w:val="20"/>
          <w:szCs w:val="20"/>
          <w:lang w:val="en-US"/>
        </w:rPr>
      </w:pPr>
    </w:p>
    <w:p w:rsidR="00EB6A55" w:rsidRPr="00EB6A55" w:rsidRDefault="00EB6A55">
      <w:pPr>
        <w:widowControl w:val="0"/>
        <w:autoSpaceDE w:val="0"/>
        <w:autoSpaceDN w:val="0"/>
        <w:adjustRightInd w:val="0"/>
        <w:spacing w:after="0" w:line="240" w:lineRule="auto"/>
        <w:jc w:val="right"/>
        <w:rPr>
          <w:rFonts w:ascii="Calibri" w:hAnsi="Calibri" w:cs="Calibri"/>
          <w:lang w:val="en-US"/>
        </w:rPr>
      </w:pPr>
      <w:r>
        <w:rPr>
          <w:rFonts w:ascii="Calibri" w:hAnsi="Calibri" w:cs="Calibri"/>
        </w:rPr>
        <w:t>ОКС</w:t>
      </w:r>
      <w:r w:rsidRPr="00EB6A55">
        <w:rPr>
          <w:rFonts w:ascii="Calibri" w:hAnsi="Calibri" w:cs="Calibri"/>
          <w:lang w:val="en-US"/>
        </w:rPr>
        <w:t xml:space="preserve"> 91.160.01</w:t>
      </w:r>
    </w:p>
    <w:p w:rsidR="00EB6A55" w:rsidRPr="00EB6A55" w:rsidRDefault="00EB6A55">
      <w:pPr>
        <w:widowControl w:val="0"/>
        <w:autoSpaceDE w:val="0"/>
        <w:autoSpaceDN w:val="0"/>
        <w:adjustRightInd w:val="0"/>
        <w:spacing w:after="0" w:line="240" w:lineRule="auto"/>
        <w:ind w:firstLine="540"/>
        <w:jc w:val="both"/>
        <w:rPr>
          <w:rFonts w:ascii="Calibri" w:hAnsi="Calibri" w:cs="Calibri"/>
          <w:lang w:val="en-US"/>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Дата введения</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1 января 2013 года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Предисловие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Цели и принципы стандартизации в Российской Федерации установлены Федеральным </w:t>
      </w:r>
      <w:hyperlink r:id="rId5" w:history="1">
        <w:r>
          <w:rPr>
            <w:rFonts w:ascii="Calibri" w:hAnsi="Calibri" w:cs="Calibri"/>
            <w:color w:val="0000FF"/>
          </w:rPr>
          <w:t>законом</w:t>
        </w:r>
      </w:hyperlink>
      <w:r>
        <w:rPr>
          <w:rFonts w:ascii="Calibri" w:hAnsi="Calibri" w:cs="Calibri"/>
        </w:rPr>
        <w:t xml:space="preserve"> от 27 декабря 2002 г. N 184-ФЗ "О техническом регулировании", а правила разработки - </w:t>
      </w:r>
      <w:hyperlink r:id="rId6" w:history="1">
        <w:r>
          <w:rPr>
            <w:rFonts w:ascii="Calibri" w:hAnsi="Calibri" w:cs="Calibri"/>
            <w:color w:val="0000FF"/>
          </w:rPr>
          <w:t>Постановлением</w:t>
        </w:r>
      </w:hyperlink>
      <w:r>
        <w:rPr>
          <w:rFonts w:ascii="Calibri" w:hAnsi="Calibri" w:cs="Calibri"/>
        </w:rPr>
        <w:t xml:space="preserve"> Правительства Российской Федерации "О порядке разработки и утверждения сводов правил" от 19 ноября 2008 г. N 858.</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Сведения о своде правил</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Исполнители - Автономная некоммерческая организация "Организационный комитет XXII Олимпийских зимних игр и XI Паралимпийских зимних игр 2014 г. в г. Сочи" (АНО "Оргкомитет "Сочи 2014"); Общероссийская физкультурно-спортивная общественная организация "Российская ассоциация спортивных сооружений" (ОФСОО "РАСС"); Общероссийская негосударственная некоммерческая организация "Национальное объединение саморегулируемых организаций, основанных на членстве лиц, осуществляющих строительство" ("Национальное объединение строителей"); Открытое акционерное общество "Центральный научно-исследовательский и проектно-экспериментальный институт промышленных зданий и сооружений (ОАО "ЦНИИПромзданий"); Открытое акционерное общество "Институт общественных и жилых зданий, сооружений и комплексов" (ОАО "Институт общественных зданий"); Общество с ограниченной ответственностью "Институт спортивных сооружений" (ООО "ИСС").</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Внесен Техническим комитетом по стандартизации ТК 465 "Строительство".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Подготовлен к утверждению Департаментом архитектуры, строительства и градостроительной политики.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Утвержден </w:t>
      </w:r>
      <w:hyperlink r:id="rId7" w:history="1">
        <w:r>
          <w:rPr>
            <w:rFonts w:ascii="Calibri" w:hAnsi="Calibri" w:cs="Calibri"/>
            <w:color w:val="0000FF"/>
          </w:rPr>
          <w:t>Приказом</w:t>
        </w:r>
      </w:hyperlink>
      <w:r>
        <w:rPr>
          <w:rFonts w:ascii="Calibri" w:hAnsi="Calibri" w:cs="Calibri"/>
        </w:rPr>
        <w:t xml:space="preserve"> Министерства регионального развития Российской Федерации (Минрегион России) от 27 декабря 2011 г. N 605 и введен в действие с 1 января 2013 г.</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Зарегистрирован Федеральным агентством по техническому регулированию и метрологии (Росстандарт). Пересмотр СП 59.13330.2010 "СНиП 35-01-2001. Доступность зданий и сооружений для маломобильных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w:t>
      </w:r>
      <w:r>
        <w:rPr>
          <w:rFonts w:ascii="Calibri" w:hAnsi="Calibri" w:cs="Calibri"/>
        </w:rPr>
        <w:lastRenderedPageBreak/>
        <w:t>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Введение</w: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Актуализация </w:t>
      </w:r>
      <w:hyperlink r:id="rId8" w:history="1">
        <w:r>
          <w:rPr>
            <w:rFonts w:ascii="Calibri" w:hAnsi="Calibri" w:cs="Calibri"/>
            <w:color w:val="0000FF"/>
          </w:rPr>
          <w:t>СНиП 35-01-2001</w:t>
        </w:r>
      </w:hyperlink>
      <w:r>
        <w:rPr>
          <w:rFonts w:ascii="Calibri" w:hAnsi="Calibri" w:cs="Calibri"/>
        </w:rPr>
        <w:t xml:space="preserve"> в формате свода правил проведена в рамках выполнения </w:t>
      </w:r>
      <w:hyperlink r:id="rId9" w:history="1">
        <w:r>
          <w:rPr>
            <w:rFonts w:ascii="Calibri" w:hAnsi="Calibri" w:cs="Calibri"/>
            <w:color w:val="0000FF"/>
          </w:rPr>
          <w:t>части 5 статьи 42</w:t>
        </w:r>
      </w:hyperlink>
      <w:r>
        <w:rPr>
          <w:rFonts w:ascii="Calibri" w:hAnsi="Calibri" w:cs="Calibri"/>
        </w:rPr>
        <w:t xml:space="preserve"> Федерального закона от 30.12.2009 N 384-ФЗ "Технический регламент "О безопасности зданий и сооружений", а также п. 2 Плана мероприятий по созданию безбарьерной среды для целей проведения XXII Олимпийских зимних игр и XI Паралимпийских зимних игр 2014 г. в г. Сочи.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в соответствии с принципами Конвенции ООН о правах инвалидов, подписанной Российской Федерацией в сентябре 2008 г.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Конвенции ООН в процессе проектирования и строительства формирует среду жизнедеятельности с беспрепятственным доступом инвалидов и других маломобильных групп населения к зданиям и сооружениям, безопасность их эксплуатации без необходимости последующего переустройства и приспособления.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Свод правил разработан с учетом требований Международного олимпийского комитета, Международного паралимпийского комитета и международного опыта в системе других документов в области стандартизации, устанавливающих требования по доступности зданий, сооружений и объектов инфраструктуры для маломобильных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настоящем нормативном документе реализованы требования Федерального </w:t>
      </w:r>
      <w:hyperlink r:id="rId10" w:history="1">
        <w:r>
          <w:rPr>
            <w:rFonts w:ascii="Calibri" w:hAnsi="Calibri" w:cs="Calibri"/>
            <w:color w:val="0000FF"/>
          </w:rPr>
          <w:t>закона</w:t>
        </w:r>
      </w:hyperlink>
      <w:r>
        <w:rPr>
          <w:rFonts w:ascii="Calibri" w:hAnsi="Calibri" w:cs="Calibri"/>
        </w:rPr>
        <w:t xml:space="preserve"> от 29.12.2004 N 190-ФЗ "Градостроительный кодекс Российской Федерации", Федерального </w:t>
      </w:r>
      <w:hyperlink r:id="rId11" w:history="1">
        <w:r>
          <w:rPr>
            <w:rFonts w:ascii="Calibri" w:hAnsi="Calibri" w:cs="Calibri"/>
            <w:color w:val="0000FF"/>
          </w:rPr>
          <w:t>закона</w:t>
        </w:r>
      </w:hyperlink>
      <w:r>
        <w:rPr>
          <w:rFonts w:ascii="Calibri" w:hAnsi="Calibri" w:cs="Calibri"/>
        </w:rPr>
        <w:t xml:space="preserve"> от 24.11.1995 N 181-ФЗ "О социальной защите инвалидов в РФ", Федерального </w:t>
      </w:r>
      <w:hyperlink r:id="rId12" w:history="1">
        <w:r>
          <w:rPr>
            <w:rFonts w:ascii="Calibri" w:hAnsi="Calibri" w:cs="Calibri"/>
            <w:color w:val="0000FF"/>
          </w:rPr>
          <w:t>закона</w:t>
        </w:r>
      </w:hyperlink>
      <w:r>
        <w:rPr>
          <w:rFonts w:ascii="Calibri" w:hAnsi="Calibri" w:cs="Calibri"/>
        </w:rPr>
        <w:t xml:space="preserve"> от 27.12.2002 N 184-ФЗ "О техническом регулировании", Федерального </w:t>
      </w:r>
      <w:hyperlink r:id="rId13" w:history="1">
        <w:r>
          <w:rPr>
            <w:rFonts w:ascii="Calibri" w:hAnsi="Calibri" w:cs="Calibri"/>
            <w:color w:val="0000FF"/>
          </w:rPr>
          <w:t>закона</w:t>
        </w:r>
      </w:hyperlink>
      <w:r>
        <w:rPr>
          <w:rFonts w:ascii="Calibri" w:hAnsi="Calibri" w:cs="Calibri"/>
        </w:rPr>
        <w:t xml:space="preserve"> от 30.03.1999 N 52-ФЗ "О санитарно-эпидемиологическом благополучии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Актуализация выполнена авторским коллективом: "Национальное объединение строителей" (руководитель темы - канд. экон. наук С.В. Пугачев); ОФСОО "РАСС" (зам. руководителя темы - д-р психол. наук В.Б. Мяконьков, технический директор Л.Б. Гутман, ведущий специалист И.П. Камчаткин); ОАО "Институт общественных зданий" (зам. руководителя темы по научной работе, общая редакция - канд. архитектуры А.М. Гарнец); ООО "ПожМонтажГрупп" (инженер А.В. Апаков); Департамент социальной защиты населения г. Москвы (специалист А.В. Варсанофьев); ГУП "МНИИТЭП" (нач. электроотдела А.В. Кузилин); ФГОУ ВПО Госуниверситет по землеустройству (д-р архитектуры М.Ю. Лимонад); ОАО "МосОтис" (инженер С.М. Ройтбурд); Минрегион России (канд. экон. наук, нач. отдела технического регулирования и нормирования в строительной отрасли Департамента архитектуры, строительства и градостроительной политики К.А. Жиляев); ОАО "ЦНИИПромзданий" (канд. архитектуры Д.К. Лейкина); ООО "ИСС" (ведущий научный сотрудник Э.Н. Асылгараева); АНО "Оргкомитет "Сочи 2014" (директор функционального подразделения по подготовке олимпийских объектов и инфраструктуры С.А. Красноперов, старший менеджер по подготовке Олимпийских объектов Д.Б. Шишонков), при участии Всероссийского общества инвалидов (зам. председателя О.В. Рысев).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1. Область применения</w: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Настоящий свод правил предназначается для разработки проектных решений общественных, жилых и производственных зданий, которые должны обеспечивать для инвалидов 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Требования настоящего документа необходимо учитывать при проектировании новых, </w:t>
      </w:r>
      <w:r>
        <w:rPr>
          <w:rFonts w:ascii="Calibri" w:hAnsi="Calibri" w:cs="Calibri"/>
        </w:rPr>
        <w:lastRenderedPageBreak/>
        <w:t>реконструируемых, подлежащих капитальному ремонту и приспосабливаемых зданий и сооружений. Они распространяются на функционально-планировочные элементы зданий и сооружений, их участки или отдельные помещения, доступные для МГН: входные узлы, коммуникации, пути эвакуации, помещения (зоны) проживания, обслуживания и места приложения труда, а также на их информационное и инженерное обустройство.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невозможности полного приспособления объекта для нужд МГН при реконструкции, капитальном ремонте зданий и сооружений и т.д., следует осуществлять проектирование в рамках "разумного приспособления" при согласовании задания на проектирование с территориальными органами социальной защиты населения соответствующего уровня и с учетом мнения общественных объединений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Возможность и степень (вид) адаптации к требованиям настоящих норм зданий, имеющих историческую, художественную или архитектурную ценность, следует согласовывать с органом по охране и использованию памятников истории и культуры соответствующего уровня и с органами социальной защиты населения соответствующего уровня.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Требования нормативного документа не распространяются на проектирование жилых одноквартирных домов.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Проектные решения, предназначенные для МГН, должны обеспечивать повышенное качество среды обитания при соблюдении: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безопасности путей движения (в том числе эвакуационных и путей спасения), а также мест проживания, обслуживания и приложения труда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удобства и комфорта среды жизнедеятельности для всех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2. Нормативные ссылки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документы, на которые в тексте настоящего свода правил имеются ссылки, приведены в </w:t>
      </w:r>
      <w:hyperlink w:anchor="Par750" w:history="1">
        <w:r>
          <w:rPr>
            <w:rFonts w:ascii="Calibri" w:hAnsi="Calibri" w:cs="Calibri"/>
            <w:color w:val="0000FF"/>
          </w:rPr>
          <w:t>Приложении А</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3. Термины и определения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Используемые в тексте термины и их определения приведены в </w:t>
      </w:r>
      <w:hyperlink w:anchor="Par794" w:history="1">
        <w:r>
          <w:rPr>
            <w:rFonts w:ascii="Calibri" w:hAnsi="Calibri" w:cs="Calibri"/>
            <w:color w:val="0000FF"/>
          </w:rPr>
          <w:t>Приложении Б</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4. Требования к земельным участкам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4.1. Входы и пути движения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 Вход на участок следует оборудовать доступными для МГН, в том числе инвалидов-колясочников, элементами информации об объекте.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На путях движения МГН 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hyperlink r:id="rId14" w:history="1">
        <w:r>
          <w:rPr>
            <w:rFonts w:ascii="Calibri" w:hAnsi="Calibri" w:cs="Calibri"/>
            <w:color w:val="0000FF"/>
          </w:rPr>
          <w:t>СП 42.13330</w:t>
        </w:r>
      </w:hyperlink>
      <w:r>
        <w:rPr>
          <w:rFonts w:ascii="Calibri" w:hAnsi="Calibri" w:cs="Calibri"/>
        </w:rP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5" w:history="1">
        <w:r>
          <w:rPr>
            <w:rFonts w:ascii="Calibri" w:hAnsi="Calibri" w:cs="Calibri"/>
            <w:color w:val="0000FF"/>
          </w:rPr>
          <w:t>ГОСТ Р 51256</w:t>
        </w:r>
      </w:hyperlink>
      <w:r>
        <w:rPr>
          <w:rFonts w:ascii="Calibri" w:hAnsi="Calibri" w:cs="Calibri"/>
        </w:rPr>
        <w:t xml:space="preserve"> и </w:t>
      </w:r>
      <w:hyperlink r:id="rId16" w:history="1">
        <w:r>
          <w:rPr>
            <w:rFonts w:ascii="Calibri" w:hAnsi="Calibri" w:cs="Calibri"/>
            <w:color w:val="0000FF"/>
          </w:rPr>
          <w:t>ГОСТ Р 52875</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4.1.4. Транспортные проезды на участке и пешеходные пути к объектам допускается совмещать при соблюдении градостроительных требований к параметрам путей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4.1.5.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ГОСТ Р 51684. По обеим сторонам перехода через проезжую часть должны быть установлены бордюрные пандусы.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4.1.6. При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пешеходного пути через островок безопасности в местах перехода через проезжую часть должна быть не менее 3 м, длина - не менее 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4.1.7. 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Продольный уклон путей движения, по которому возможен проезд инвалидов на креслах-колясках, не должен превышать 5%, поперечный - 2%.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Все параметры ширины и высоты коммуникационных путей здесь и в других пунктах приводятся в чистоте (в свету).</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4.1.8.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4.1.9. Высоту бордюров по краям пешеходных путей на территории рекомендуется принимать не менее 0,05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4.1.10. 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или начала опасного участка, изменения направления движения, входа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тактильной полосы принимается в пределах 0,5 - 0,6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4.1.11. 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w:t>
      </w:r>
      <w:r>
        <w:rPr>
          <w:rFonts w:ascii="Calibri" w:hAnsi="Calibri" w:cs="Calibri"/>
        </w:rPr>
        <w:lastRenderedPageBreak/>
        <w:t>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Покрытие из бетонных плит должно иметь толщину швов между плитами не более 0,015 м. Покрытие из рыхлых материалов, в том числе песка и гравия,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4.1.12. Ширина лестничных маршей открытых лестниц должна быть не менее 1,35 м. Для открытых лестниц на перепадах рельефа ширину проступей следует принимать от 0,35 до 0,4 м, высоту подступенка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ступеней должна иметь антискользящее покрытие и быть шероховатой.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следует применять на путях движения МГН ступеней с открытыми подступенками.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Краевые ступени лестничных маршей должны быть выделены цветом или фактурой.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открытой лестницей за 0,8 - 0,9 м следует предусматривать предупредительные тактильные полосы шириной 0,3 - 0,5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4.1.13. В тех местах,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4.1.14. Лестницы должны дублироваться пандусами или подъемными устройствами.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Наружные лестницы и пандусы должны быть оборудованы поручнями. Длина марша пандуса не должна превышать 9,0 м, а уклон не круче 1:20.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между поручнями пандуса должна быть в пределах 0,9 - 1,0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 с расчетной длиной 36,0 м и более или высотой более 3,0 м следует заменять подъемными устройствами.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4.1.15. 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 x 1,5 м, а в зонах интенсивного использования не менее 2,1 x 2,1 м. Свободные зоны должны быть также предусмотрены при каждом изменении направления пандуса.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ГОСТ Р 51261. Расстояние между поручнями должно быть в пределах 0,9 - 1,0 м. Колесоотбойные устройства высотой 0,1 м следует устанавливать на промежуточных площадках и на съезде.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4.1.16. Поверхность пандуса должна быть нескользкой, отчетливо маркированной цветом или текстурой, контрастной относительно прилегающей поверхности.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изменения уклонов необходимо устанавливать искусственное освещение не менее 100 лк на уровне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Необходимость устройства подогрева поверхности пандуса, площадок под навесом, укрытием устанавливается заданием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4.1.17. 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решетки следует размещать вне зоны движения пешеходов.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4.2. Автостоянки для инвалидов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4.2.1.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p w:rsidR="00EB6A55" w:rsidRDefault="00EB6A55">
      <w:pPr>
        <w:pStyle w:val="ConsPlusNonformat"/>
      </w:pPr>
      <w:r>
        <w:t xml:space="preserve">    до 100 включительно ............ 5%, но не менее одного места;</w:t>
      </w:r>
    </w:p>
    <w:p w:rsidR="00EB6A55" w:rsidRDefault="00EB6A55">
      <w:pPr>
        <w:pStyle w:val="ConsPlusNonformat"/>
      </w:pPr>
      <w:r>
        <w:lastRenderedPageBreak/>
        <w:t xml:space="preserve">    от 101 до 200 .................. 5 мест и дополнительно 3%;</w:t>
      </w:r>
    </w:p>
    <w:p w:rsidR="00EB6A55" w:rsidRDefault="00EB6A55">
      <w:pPr>
        <w:pStyle w:val="ConsPlusNonformat"/>
      </w:pPr>
      <w:r>
        <w:t xml:space="preserve">    от 201 до 1000 ................. 8 мест и дополнительно 2%;</w:t>
      </w:r>
    </w:p>
    <w:p w:rsidR="00EB6A55" w:rsidRDefault="00EB6A55">
      <w:pPr>
        <w:pStyle w:val="ConsPlusNonformat"/>
      </w:pPr>
      <w:r>
        <w:t xml:space="preserve">    1001 место и более ............. 24 места плюс не менее 1%</w:t>
      </w:r>
    </w:p>
    <w:p w:rsidR="00EB6A55" w:rsidRDefault="00EB6A55">
      <w:pPr>
        <w:pStyle w:val="ConsPlusNonformat"/>
      </w:pPr>
      <w:r>
        <w:t xml:space="preserve">                                     на каждые 100 мест свыше.</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имеется в виду ГОСТ Р 12.4.026, а не ГОСТ 12.4.026.</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Выделяемые места должны обозначаться знаками, принятыми </w:t>
      </w:r>
      <w:hyperlink r:id="rId17" w:history="1">
        <w:r>
          <w:rPr>
            <w:rFonts w:ascii="Calibri" w:hAnsi="Calibri" w:cs="Calibri"/>
            <w:color w:val="0000FF"/>
          </w:rPr>
          <w:t>ГОСТ Р 52289</w:t>
        </w:r>
      </w:hyperlink>
      <w:r>
        <w:rPr>
          <w:rFonts w:ascii="Calibri" w:hAnsi="Calibri" w:cs="Calibri"/>
        </w:rPr>
        <w:t xml:space="preserve"> и </w:t>
      </w:r>
      <w:hyperlink r:id="rId18" w:history="1">
        <w:r>
          <w:rPr>
            <w:rFonts w:ascii="Calibri" w:hAnsi="Calibri" w:cs="Calibri"/>
            <w:color w:val="0000FF"/>
          </w:rPr>
          <w:t>ПДД</w:t>
        </w:r>
      </w:hyperlink>
      <w:r>
        <w:rPr>
          <w:rFonts w:ascii="Calibri" w:hAnsi="Calibri" w:cs="Calibri"/>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9" w:history="1">
        <w:r>
          <w:rPr>
            <w:rFonts w:ascii="Calibri" w:hAnsi="Calibri" w:cs="Calibri"/>
            <w:color w:val="0000FF"/>
          </w:rPr>
          <w:t>ГОСТ 12.4.026</w:t>
        </w:r>
      </w:hyperlink>
      <w:r>
        <w:rPr>
          <w:rFonts w:ascii="Calibri" w:hAnsi="Calibri" w:cs="Calibri"/>
        </w:rPr>
        <w:t>, расположенным на высоте не менее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4.2.2. Места для личного автотранспорта инвалидов желательно размещать вблизи входа в предприятие или в учреждение, доступного для инвалидов, но не далее 50 м, от входа в жилое здание - не далее 100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4.2.3. Специальные парковочные места вдоль транспортных коммуникаций разрешается предусматривать при уклоне дороги менее 1:50.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Размеры парковочных мест, расположенных параллельно бордюру, должны обеспечивать доступ к задней части автомобиля для пользования пандусом или подъемным приспособлением.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 должен иметь блистерное покрытие, обеспечивающее удобный переход с площадки для стоянки на тротуар. В местах высадки и передвижения инвалидов из личного автотранспорта до входов в здания должно применяться нескользкое покрытие.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4.2.4. Разметку места для стоянки автомашины инвалида на кресле-коляске следует предусматривать размером 6,0 x 3,6 м, что дает возможность создать безопасную зону сбоку и сзади машины - 1,2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4.2.5. Места для автомашин инвалидов на креслах-колясках в многоуровневых автостоянках рекомендуется размещать у выхода на первом этаже или около лифтов.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Высота свободного пространства от плоскости (пола) автостоянки до низа перекрывающих конструкций и другие конструктивные размеры следует принимать по </w:t>
      </w:r>
      <w:hyperlink r:id="rId20" w:history="1">
        <w:r>
          <w:rPr>
            <w:rFonts w:ascii="Calibri" w:hAnsi="Calibri" w:cs="Calibri"/>
            <w:color w:val="0000FF"/>
          </w:rPr>
          <w:t>СП 113.13330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4.2.6. Встроенные, в том числе подземные автостоянки 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4.3. Благоустройство и места отдыха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4.3.1. На территории на основных путях движения людей рекомендуется предусматривать не менее чем через 100 - 150 м места отдыха, доступные для МГН, оборудованные навесами, скамьями, телефонами-автоматами, указателями, светильниками, сигнализацией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отдыха должны выполнять функции архитектурных акцентов, входящих в общую информационную систему объекта.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4.3.2. Скамейки для инвалидов, в том числе слепых, устанавливаются на обочинах проходов и обозначаются с помощью изменения фактуры наземного покрытия.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4.3.3. Минимальный уровень освещенности в местах отдыха следует принимать 20 лк. Светильники, устанавливаемые на площадках отдыха, должны быть расположены ниже уровня </w:t>
      </w:r>
      <w:r>
        <w:rPr>
          <w:rFonts w:ascii="Calibri" w:hAnsi="Calibri" w:cs="Calibri"/>
        </w:rPr>
        <w:lastRenderedPageBreak/>
        <w:t>глаз сидящего.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4.3.4. Устройства и оборудование (почтовые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Вокруг отдельно стоящих опор, стоек или деревьев, расположенных на пути движения, следует предусматривать предупредительное мощение в форме квадрата или круга на расстоянии 0,5 м от объекта.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4.3.5.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0,7 - 0,8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Формы и края подвесного оборудования должны быть скруглены.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4.3.6. Временные сооружения, столбы наружного освещения и указателей, газетные и торговые киоски и т.д. должны располагаться за пределами полосы движения и иметь контрастный цвет.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4.3.7. В исключительных случаях при реконструкции могут применяться передвижные пандусы. Ширина поверхности передвижных пандусов должна быть не менее 1,0 м, уклоны должны быть приближены к значениям стационарных пандусов.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5. Требования к помещениям и их элементам</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зданиях и сооружениях должны быть обеспечены для МГН условия использования в полном объеме помещений для безопасного осуществления необходимой деятельности самостоятельно либо при помощи сопровождающего, а также эвакуации в случае экстренной ситуации.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5.1. Входы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5.1.1. В здании 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5.1.2. Наружные лестницы и пандусы 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5.1.3. Входная площадка при входах, доступных МГН, должна иметь: навес, водоотвод, а в зависимости от местных климатических условий - подогрев поверхности покрытия. Размеры входной площадки при открывании полотна дверей наружу должны быть не менее 1,4 x 2,0 м или 1,5 x 1,85 м. Размеры входной площадки с пандусом не менее 2,2 x 2,2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Поверхности покрытий входных площадок и тамбуров должны быть твердыми, не допускать скольжения при намокании и иметь поперечный уклон в пределах 1 - 2%.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5.1.4. Входные двери должны иметь ширину в свету не менее 1,2 м. Применение дверей на качающихся петлях и дверей вертушек на путях передвижения МГН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полотнах наружных дверей, доступных для МГН, следует предусматривать смотровые панели, заполненные прозрачным и ударопрочным материалом, нижняя часть которых должна располагаться в пределах от 0,5 до 1,2 м от уровня пола. Нижняя часть стеклянных дверных полотен на высоту не менее 0,3 м от уровня пола должна быть защищена противоударной </w:t>
      </w:r>
      <w:r>
        <w:rPr>
          <w:rFonts w:ascii="Calibri" w:hAnsi="Calibri" w:cs="Calibri"/>
        </w:rPr>
        <w:lastRenderedPageBreak/>
        <w:t>полосой.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Наружные двери, доступные для МГН, могут иметь пороги. При этом высота каждого элемента порога не должна превышать 0,014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дверных запоров на путях эвакуации следует предусматривать ручки нажимного действия. Усилие открывания двери не должно превышать 50 Нм.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двухстворчатых дверях одна рабочая створка должна иметь ширину, требуемую для однопольных дверей.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5.1.5. Прозрачные двери на входах и в здании, а также ограждения следует выполнять из ударопрочного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Дверные наличники или края дверного полотна и ручки рекомендуется окрашивать в отличные от дверного полотна контрастные цвета.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5.1.6. Входные двери, доступные для входа инвалидов, следует проектировать автоматическими, ручными или механическими. Они должны быть хорошо опознаваемы и иметь символ, указывающий на их доступность. Целесообразно применение автоматических распашных или раздвижных дверей (если они не стоят на путях эвакуации).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движения МГН рекомендуется применять двери на петлях одностороннего действия с фиксаторами в положениях "открыто" или "закрыто".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5.1.7. Глубина тамбуров и тамбур-шлюзов при прямом движении и одностороннем открывании дверей должна быть не менее 2,3 при ширине не менее 1,50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внутрь междверного пространства.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Свободное пространство у двери со стороны защелки должно быть: при открывании "от себя" не менее 0,3 м, а при открывании "к себе" - не менее 0,6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глубине тамбура менее 1,8 м до 1,5 м (при реконструкции) его ширина должна быть не менее 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тамбурах, лестничных клетках и у эвакуационных выходов не допускается применять зеркальные стены (поверхности), а в дверях - зеркальные стекла.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Дренажные и водосборные решетки, устанавливаемые в полу тамбуров или входных площадок, должны устанавливаться в уровне с поверхностью покрытия пола. 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5.1.8. При наличии контроля на входе следует применять контрольно-пропускные устройства и турникеты шириной в свету не менее 1,0 м, приспособленные для пропуска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5.1.9. Помещения, где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5.2. Пути движения в зданиях</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Горизонтальные коммуникации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 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w:t>
      </w:r>
      <w:r>
        <w:rPr>
          <w:rFonts w:ascii="Calibri" w:hAnsi="Calibri" w:cs="Calibri"/>
        </w:rPr>
        <w:lastRenderedPageBreak/>
        <w:t>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1" w:name="Par187"/>
      <w:bookmarkEnd w:id="1"/>
      <w:r>
        <w:rPr>
          <w:rFonts w:ascii="Calibri" w:hAnsi="Calibri" w:cs="Calibri"/>
        </w:rPr>
        <w:t>Ширина пути движения (в коридорах, галереях и т.п.) должна быть не менее:</w:t>
      </w:r>
    </w:p>
    <w:p w:rsidR="00EB6A55" w:rsidRDefault="00EB6A55">
      <w:pPr>
        <w:pStyle w:val="ConsPlusNonformat"/>
      </w:pPr>
      <w:r>
        <w:t xml:space="preserve">    при движении кресла-коляски в одном направлении ....... 1,5 м;</w:t>
      </w:r>
    </w:p>
    <w:p w:rsidR="00EB6A55" w:rsidRDefault="00EB6A55">
      <w:pPr>
        <w:pStyle w:val="ConsPlusNonformat"/>
      </w:pPr>
      <w:r>
        <w:t xml:space="preserve">    при встречном движении ................................ 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Ширину перехода в другое здание следует принимать - не менее 2,0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движении по коридору инвалиду на кресле-коляске следует обеспечить минимальное пространство для: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поворота на 90° - равное 1,2 x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разворота на 180° - равное диаметру 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тупиковых коридорах необходимо обеспечить возможность разворота кресла-коляски на 180°.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коридоров по всей их длине и ширине должна составлять в свету не менее 2,1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При реконструкции зданий допускается уменьшать ширину коридоров при условии создания разъездов (карманов) для кресел-колясок размером 2 м (длина) и 1,8 м (ширина) в пределах прямой видимости следующего кармана.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 Подходы к различному оборудованию и мебели должны быть по ширине не менее 0,9 м, а при необходимости поворота кресла-коляски на 90° - не менее 1,2 м. Диаметр зоны для самостоятельного разворота на 180° инвалида на кресле-коляске следует принимать не менее 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Глубина пространства для маневрирования кресла-коляски перед дверью при открывании "от себя" должна быть не менее 1,2 м, а при открывании "к себе" - не менее 1,5 м при ширине проема не менее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Ширину прохода в помещении с оборудованием и мебелью следует принимать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 Участки пола на путях движения 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w:t>
      </w:r>
      <w:hyperlink r:id="rId21" w:history="1">
        <w:r>
          <w:rPr>
            <w:rFonts w:ascii="Calibri" w:hAnsi="Calibri" w:cs="Calibri"/>
            <w:color w:val="0000FF"/>
          </w:rPr>
          <w:t>ГОСТ Р 12.4.026</w:t>
        </w:r>
      </w:hyperlink>
      <w:r>
        <w:rPr>
          <w:rFonts w:ascii="Calibri" w:hAnsi="Calibri" w:cs="Calibri"/>
        </w:rPr>
        <w:t>. Рекомендуется предусматривать световые маячки.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"возможной опасности" с учетом проекции движения дверного полотна должны быть обозначены контрастной цвету окружающего пространства краской для разметки.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5.2.4. Ширина дверных и открытых проемов в стене, а также выходов из помещений и коридоров на лестничную клетку должна быть не менее 0,9 м. При глубине откоса в стене открытого проема более 1,0 м ширину проема следует принимать по ширине коммуникационного прохода, но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Двери на путях эвакуации должны иметь окраску, контрастную со стеной.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Дверные проемы в помещения, как правило, не должны иметь порогов и перепадов высот пола. При необходимости устройства порогов их высота или перепад высот не должен превышать 0,014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5.2.5. На путях движения МГН в здании следует предусматривать смежные с ними места отдыха и ожидания. В местах отдыха или ожидания следует предусматривать не менее одного места для инвалида на кресле-коляске или пользующегося костылями (тростью), а также его сопровождающего.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5.2.6. На каждом этаже, где будут посетители, следует предусматривать зоны отдыха на 2 - 3 места, в том числе и для инвалидов на креслах-колясках. При большой длине этажа зону отдыха следует предусматривать через 25 - 30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5.2.7. Конструктивные элементы и устройства внутри зданий, 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маршем открытой лестницы и другими нависающими элементами внутри здания, </w:t>
      </w:r>
      <w:r>
        <w:rPr>
          <w:rFonts w:ascii="Calibri" w:hAnsi="Calibri" w:cs="Calibri"/>
        </w:rPr>
        <w:lastRenderedPageBreak/>
        <w:t>имеющими размер в свету по высоте менее 1,9 м, следует устанавливать барьеры, ограждения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5.2.8. В помещениях, доступных инвалидам, не разрешается применять ворсовые ковры с высотой ворса более 0,013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Ковровые покрытия на путях движения должны быть плотно закреплены, особенно на стыках полотен и по границе разнородных покрытий.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Вертикальные коммуникации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Лестницы и пандусы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5.2.9. При перепаде высот пола в здании или сооружении следует предусматривать лестницы, пандусы или подъемные устройства, доступные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2" w:name="Par218"/>
      <w:bookmarkEnd w:id="2"/>
      <w:r>
        <w:rPr>
          <w:rFonts w:ascii="Calibri" w:hAnsi="Calibri" w:cs="Calibri"/>
        </w:rPr>
        <w:t>В местах перепада уровней пола в помещении для защиты от падения следует предусматривать ограждения высотой в пределах 1 - 1,2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Ступени лестниц должны быть ровными, без выступов и с шероховатой поверхностью. Ребро ступени должно иметь закругление радиусом не более 0,05 м. 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Ступени лестниц должны быть с подступенком. Применение открытых ступеней (без подступенка)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5.2.10. При отсутствии лифтов ширина марша лестницы должна быть не менее 1,35 м. В остальных случаях ширину марша следует принимать по </w:t>
      </w:r>
      <w:hyperlink r:id="rId22" w:history="1">
        <w:r>
          <w:rPr>
            <w:rFonts w:ascii="Calibri" w:hAnsi="Calibri" w:cs="Calibri"/>
            <w:color w:val="0000FF"/>
          </w:rPr>
          <w:t>СП 54.13330</w:t>
        </w:r>
      </w:hyperlink>
      <w:r>
        <w:rPr>
          <w:rFonts w:ascii="Calibri" w:hAnsi="Calibri" w:cs="Calibri"/>
        </w:rPr>
        <w:t xml:space="preserve"> и </w:t>
      </w:r>
      <w:hyperlink r:id="rId23" w:history="1">
        <w:r>
          <w:rPr>
            <w:rFonts w:ascii="Calibri" w:hAnsi="Calibri" w:cs="Calibri"/>
            <w:color w:val="0000FF"/>
          </w:rPr>
          <w:t>СП 118.13330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Завершающие горизонтальные части поручня должны быть длиннее марша лестницы или наклонной части пандуса на 0,3 м (допускается от 0,27 - 0,33 м) и иметь не травмирующее завершение.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5.2.11. При расчетной ширине марша лестницы 4,0 м и более следует предусматривать дополнительные разделительные поручни.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5.2.12. Следует применять различный по цвету материал ступеней лестниц и горизонтальных площадок перед ними.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Тактильные напольные указатели перед лестницами следует выполнять по </w:t>
      </w:r>
      <w:hyperlink r:id="rId24" w:history="1">
        <w:r>
          <w:rPr>
            <w:rFonts w:ascii="Calibri" w:hAnsi="Calibri" w:cs="Calibri"/>
            <w:color w:val="0000FF"/>
          </w:rPr>
          <w:t>ГОСТ Р 52875</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5.2.13. Максимальная высота одного подъема (марша) пандуса не должна превышать 0,8 м при уклоне не более 1:20 (5%). При перепаде высот пола на путях движения 0,2 м и менее допускается увеличивать уклон пандуса до 1:10 (10%).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при перепаде высот более 3,0 м следует заменять лифтами, подъемными платформами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исключительных случаях допускается предусматривать винтовые пандусы. Ширина винтового пандуса при полном повороте должна быть не менее 2,0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Через каждые 8,0 - 9,0 м длины марша пандуса должна быть устроена горизонтальная площадка. Горизонтальные площадки должны быть устроены также при каждом изменении направления пандуса.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Площадка на горизонтальном участке пандуса при прямом пути движения или на повороте должна иметь размер не менее 1,5 м по ходу движения, а на винтовом - не менее 2,0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в своей верхней и нижней частях должны иметь горизонтальные площадки размером не менее 1,5 x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Ширину марша пандуса следует принимать по ширине полосы движения согласно </w:t>
      </w:r>
      <w:hyperlink w:anchor="Par187" w:history="1">
        <w:r>
          <w:rPr>
            <w:rFonts w:ascii="Calibri" w:hAnsi="Calibri" w:cs="Calibri"/>
            <w:color w:val="0000FF"/>
          </w:rPr>
          <w:t>5.2.1</w:t>
        </w:r>
      </w:hyperlink>
      <w:r>
        <w:rPr>
          <w:rFonts w:ascii="Calibri" w:hAnsi="Calibri" w:cs="Calibri"/>
        </w:rPr>
        <w:t>. Поручни в этом случае принимать по ширине пандуса.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Инвентарные пандусы должны быть рассчитаны на нагрузку не менее 350 кг/м2 и удовлетворять требованиям к стационарным пандусам по ширине и уклону.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5.2.14. По продольным краям маршей пандусов для предотвращения соскальзывания трости или ноги следует предусматривать колесоотбойники высотой не менее 0,05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Поверхность марша пандуса должна визуально контрастировать с горизонтальной поверхностью в начале и конце пандуса. Допускается для выявления граничащих поверхностей применение световых маячков или световых лент.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Тактильные напольные указатели перед пандусами следует выполнять по </w:t>
      </w:r>
      <w:hyperlink r:id="rId25" w:history="1">
        <w:r>
          <w:rPr>
            <w:rFonts w:ascii="Calibri" w:hAnsi="Calibri" w:cs="Calibri"/>
            <w:color w:val="0000FF"/>
          </w:rPr>
          <w:t>ГОСТ Р 52875</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5.2.15. 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Поручни следует располагать на высоте 0,9 м (допускается от 0,85 до 0,92 м), у пандусов - дополнительно и на высоте 0,7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Поручень перил с внутренней стороны лестницы должен быть непрерывным по всей ее высоте.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Расстояние между поручнями пандуса принимать в пределах от 0,9 до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Завершающие горизонтальные части поручня должны быть длиннее марша лестницы или наклонной части пандуса на 0,3 м (допускается от 0,27 до 0,33 м) и иметь не травмирующее завершение.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5.2.16. Поручни рекомендуется применять округлого сечения диаметром от 0,04 до 0,06 м. 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верхней или боковой, внешней по отношению к маршу, поверхности поручней перил должны предусматриваться рельефные обозначения этажей, а также предупредительные полосы об окончании перил.</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Лифты, подъемные платформы и эскалаторы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5.2.17. 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Выбор способа подъема инвалидов и возможность дублирования этих способов подъема устанавливается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5.2.18. Следует применять лифты, предназначенные для пользования инвалидом на кресле-коляске с сопровождающим. Их кабины должны иметь внутренние размеры не менее 1,7 м в ширину и 1,5 м в глубину.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нового строительства общественных и производственных зданий рекомендуется применять лифты с шириной дверного проема не менее 0,95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5.2.19. Выбор числа и параметров лифтов для транспортирования инвалидов производится по расчету с учетом максимально возможной численности инвалидов в здании, исходя из номенклатуры по </w:t>
      </w:r>
      <w:hyperlink r:id="rId26" w:history="1">
        <w:r>
          <w:rPr>
            <w:rFonts w:ascii="Calibri" w:hAnsi="Calibri" w:cs="Calibri"/>
            <w:color w:val="0000FF"/>
          </w:rPr>
          <w:t>ГОСТ Р 53770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жилых многоквартирных зданий для транспортирования инвалидов на кресле-коляске допустимо использование лифта с размером кабины (ширина x глубину) 2,1 x 1,1 м и шириной дверного проема 1,2 м, в которой кресло-коляска размещается с поворотом.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объектах физкультурного, спортивного и физкультурно-досугового назначения для транспортирования людей на креслах-колясках следует применять лифт с внутренними размерами кабины лифта не менее 2,1 x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5.2.20. Световая и звуковая информирующая сигнализация в кабине лифта, доступного для инвалидов, должна соответствовать требованиям </w:t>
      </w:r>
      <w:hyperlink r:id="rId27" w:history="1">
        <w:r>
          <w:rPr>
            <w:rFonts w:ascii="Calibri" w:hAnsi="Calibri" w:cs="Calibri"/>
            <w:color w:val="0000FF"/>
          </w:rPr>
          <w:t>ГОСТ Р 51631</w:t>
        </w:r>
      </w:hyperlink>
      <w:r>
        <w:rPr>
          <w:rFonts w:ascii="Calibri" w:hAnsi="Calibri" w:cs="Calibri"/>
        </w:rPr>
        <w:t xml:space="preserve"> и Технического </w:t>
      </w:r>
      <w:hyperlink r:id="rId28" w:history="1">
        <w:r>
          <w:rPr>
            <w:rFonts w:ascii="Calibri" w:hAnsi="Calibri" w:cs="Calibri"/>
            <w:color w:val="0000FF"/>
          </w:rPr>
          <w:t>регламента</w:t>
        </w:r>
      </w:hyperlink>
      <w:r>
        <w:rPr>
          <w:rFonts w:ascii="Calibri" w:hAnsi="Calibri" w:cs="Calibri"/>
        </w:rPr>
        <w:t xml:space="preserve">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отношению к фону стены.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5.2.21. Установку подъемных платформ с наклонным перемещением для преодоления лестничных маршей инвалидами с поражением опорно-двигательного аппарата, в том числе на креслах-колясках, следует предусматривать в соответствии с требованиями </w:t>
      </w:r>
      <w:hyperlink r:id="rId29" w:history="1">
        <w:r>
          <w:rPr>
            <w:rFonts w:ascii="Calibri" w:hAnsi="Calibri" w:cs="Calibri"/>
            <w:color w:val="0000FF"/>
          </w:rPr>
          <w:t>ГОСТ Р 51630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Свободное пространство перед подъемными платформами должно составлять не менее 1,6 x 1,6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обеспечения контроля за подъемной платформой и действиями пользователя </w:t>
      </w:r>
      <w:r>
        <w:rPr>
          <w:rFonts w:ascii="Calibri" w:hAnsi="Calibri" w:cs="Calibri"/>
        </w:rPr>
        <w:lastRenderedPageBreak/>
        <w:t>подъемные платформы могут быть оснащены средствами диспетчерского и визуального контроля, с выводом информации на удаленное автоматизированное рабочее место оператора.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5.2.22. Эскалаторы должны быть оснащены тактильными предупреждающими знаками у каждого края.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эскалатор или пассажирский конвейер находятся на основном пути движения МГН, у каждого их конца следует предусмотреть выступающие перед балюстрадой ограждения высотой 1,0 м и длиной 1,0 - 1,5 м для безопасности слепых и слабовидящих (шириной в чистоте не менее движущегося полотна).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Пути эвакуации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5.2.23. Проектные решения зданий и сооружений должны обеспечивать безопасность посетителей в соответствии с требованиями "Технического </w:t>
      </w:r>
      <w:hyperlink r:id="rId30" w:history="1">
        <w:r>
          <w:rPr>
            <w:rFonts w:ascii="Calibri" w:hAnsi="Calibri" w:cs="Calibri"/>
            <w:color w:val="0000FF"/>
          </w:rPr>
          <w:t>регламента</w:t>
        </w:r>
      </w:hyperlink>
      <w:r>
        <w:rPr>
          <w:rFonts w:ascii="Calibri" w:hAnsi="Calibri" w:cs="Calibri"/>
        </w:rPr>
        <w:t xml:space="preserve"> о безопасности зданий и сооружений", "Технического </w:t>
      </w:r>
      <w:hyperlink r:id="rId31" w:history="1">
        <w:r>
          <w:rPr>
            <w:rFonts w:ascii="Calibri" w:hAnsi="Calibri" w:cs="Calibri"/>
            <w:color w:val="0000FF"/>
          </w:rPr>
          <w:t>регламента</w:t>
        </w:r>
      </w:hyperlink>
      <w:r>
        <w:rPr>
          <w:rFonts w:ascii="Calibri" w:hAnsi="Calibri" w:cs="Calibri"/>
        </w:rPr>
        <w:t xml:space="preserve"> о требованиях пожарной безопасности" и </w:t>
      </w:r>
      <w:hyperlink r:id="rId32" w:history="1">
        <w:r>
          <w:rPr>
            <w:rFonts w:ascii="Calibri" w:hAnsi="Calibri" w:cs="Calibri"/>
            <w:color w:val="0000FF"/>
          </w:rPr>
          <w:t>ГОСТ 12.1.004</w:t>
        </w:r>
      </w:hyperlink>
      <w:r>
        <w:rPr>
          <w:rFonts w:ascii="Calibri" w:hAnsi="Calibri" w:cs="Calibri"/>
        </w:rPr>
        <w:t xml:space="preserve">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5.2.24. Места обслуживания и постоянного нахождения МГН следует располагать на минимально возможных расстояниях от эвакуационных выходов из помещений зданий наружу.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5.2.25. Ширина (в свету) участков эвакуационных путей, используемых МГН, должна быть не менее, м:</w:t>
      </w:r>
    </w:p>
    <w:p w:rsidR="00EB6A55" w:rsidRDefault="00EB6A55">
      <w:pPr>
        <w:pStyle w:val="ConsPlusNonformat"/>
      </w:pPr>
      <w:r>
        <w:t xml:space="preserve">    дверей из помещений, с числом находящихся в них</w:t>
      </w:r>
    </w:p>
    <w:p w:rsidR="00EB6A55" w:rsidRDefault="00EB6A55">
      <w:pPr>
        <w:pStyle w:val="ConsPlusNonformat"/>
      </w:pPr>
      <w:r>
        <w:t>инвалидов не более 15 чел. .................................. 0,9;</w:t>
      </w:r>
    </w:p>
    <w:p w:rsidR="00EB6A55" w:rsidRDefault="00EB6A55">
      <w:pPr>
        <w:pStyle w:val="ConsPlusNonformat"/>
      </w:pPr>
      <w:r>
        <w:t xml:space="preserve">    проемов и дверей в остальных случаях; проходов внутри</w:t>
      </w:r>
    </w:p>
    <w:p w:rsidR="00EB6A55" w:rsidRDefault="00EB6A55">
      <w:pPr>
        <w:pStyle w:val="ConsPlusNonformat"/>
      </w:pPr>
      <w:r>
        <w:t>помещений ................................................... 1,2;</w:t>
      </w:r>
    </w:p>
    <w:p w:rsidR="00EB6A55" w:rsidRDefault="00EB6A55">
      <w:pPr>
        <w:pStyle w:val="ConsPlusNonformat"/>
      </w:pPr>
      <w:r>
        <w:t xml:space="preserve">    переходных лоджий и балконов, межквартирных коридоров</w:t>
      </w:r>
    </w:p>
    <w:p w:rsidR="00EB6A55" w:rsidRDefault="00EB6A55">
      <w:pPr>
        <w:pStyle w:val="ConsPlusNonformat"/>
      </w:pPr>
      <w:r>
        <w:t>(при открывании дверей внутрь) .............................. 1,5;</w:t>
      </w:r>
    </w:p>
    <w:p w:rsidR="00EB6A55" w:rsidRDefault="00EB6A55">
      <w:pPr>
        <w:pStyle w:val="ConsPlusNonformat"/>
      </w:pPr>
      <w:r>
        <w:t xml:space="preserve">    коридоров, пандусов, используемых инвалидами</w:t>
      </w:r>
    </w:p>
    <w:p w:rsidR="00EB6A55" w:rsidRDefault="00EB6A55">
      <w:pPr>
        <w:pStyle w:val="ConsPlusNonformat"/>
      </w:pPr>
      <w:r>
        <w:t xml:space="preserve">для эвакуации .................................... согласно </w:t>
      </w:r>
      <w:hyperlink w:anchor="Par187" w:history="1">
        <w:r>
          <w:rPr>
            <w:color w:val="0000FF"/>
          </w:rPr>
          <w:t>5.2.1</w:t>
        </w:r>
      </w:hyperlink>
      <w: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5.2.26. Пандус, служащий путем эвакуации со второго и вышележащих этажей, должен иметь выход наружу из здания на прилегающую территорию.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5.2.27. Если по расчету невозможно обеспечить своевременную эвакуацию всех МГН за необходимое время, то для их спасения на путях эвакуации следует предусматривать зоны безопасности, в которых они могут находиться до прибытия спасательных подразделений, либо из которых они могут эвакуироваться более продолжительное время и (или) спасаться самостоятельно по прилегающей незадымляемой лестничной клетке или пандусу.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Зоны безопасности рекомендуется предусматривать в холлах лифтов для транспортирования пожарных подразделений, а также в холлах лифтов, используемых МГН. Данные лифты могут использоваться для спасения инвалидов во время пожара. Число лифтов для МГН устанавливается расчетом согласно </w:t>
      </w:r>
      <w:hyperlink w:anchor="Par958" w:history="1">
        <w:r>
          <w:rPr>
            <w:rFonts w:ascii="Calibri" w:hAnsi="Calibri" w:cs="Calibri"/>
            <w:color w:val="0000FF"/>
          </w:rPr>
          <w:t>Приложению Г</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 зоны безопасности может включаться площадь примыкающей лоджии или балкона, отделенных противопожарными преградами от остальных помещений этажа, не входящих в зону безопасности. Лоджии и балконы могут не иметь противопожарного остекления, если наружная стена под ними глухая с пределом огнестойкости не менее REI 30 (EI 30) или имеющиеся в этой стене оконные и дверные проемы должны быть заполнены противопожарными окнами и дверями.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5.2.28. Площадь зоны безопасности должна быть предусмотрена на всех инвалидов, остающихся по расчету на этаже, исходя из удельной площади, приходящейся на одного спасаемого, при условии возможности его маневрирования, м2/чел.:</w:t>
      </w:r>
    </w:p>
    <w:p w:rsidR="00EB6A55" w:rsidRDefault="00EB6A55">
      <w:pPr>
        <w:pStyle w:val="ConsPlusNonformat"/>
      </w:pPr>
      <w:r>
        <w:t xml:space="preserve">    инвалид в кресле-коляске ............................... 2,40;</w:t>
      </w:r>
    </w:p>
    <w:p w:rsidR="00EB6A55" w:rsidRDefault="00EB6A55">
      <w:pPr>
        <w:pStyle w:val="ConsPlusNonformat"/>
      </w:pPr>
      <w:r>
        <w:t xml:space="preserve">    инвалид в кресле-коляске с сопровождающим .............. 2,65;</w:t>
      </w:r>
    </w:p>
    <w:p w:rsidR="00EB6A55" w:rsidRDefault="00EB6A55">
      <w:pPr>
        <w:pStyle w:val="ConsPlusNonformat"/>
      </w:pPr>
      <w:r>
        <w:t xml:space="preserve">    инвалид, перемещающийся самостоятельно ................. 0,75;</w:t>
      </w:r>
    </w:p>
    <w:p w:rsidR="00EB6A55" w:rsidRDefault="00EB6A55">
      <w:pPr>
        <w:pStyle w:val="ConsPlusNonformat"/>
      </w:pPr>
      <w:r>
        <w:t xml:space="preserve">    инвалид, перемещающийся с сопровождающим ............... 1,00.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обоснованном использовании в качестве зоны безопасности незадымляемой </w:t>
      </w:r>
      <w:r>
        <w:rPr>
          <w:rFonts w:ascii="Calibri" w:hAnsi="Calibri" w:cs="Calibri"/>
        </w:rPr>
        <w:lastRenderedPageBreak/>
        <w:t>лестничной клетки или пандуса, служащего путем эвакуации, размеры площадок лестничной клетки и пандуса необходимо увеличить исходя из размеров проектируемой зоны.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5.2.29. Зона безопасности должна быть запроектирована в соответствии с требованиями </w:t>
      </w:r>
      <w:hyperlink r:id="rId33" w:history="1">
        <w:r>
          <w:rPr>
            <w:rFonts w:ascii="Calibri" w:hAnsi="Calibri" w:cs="Calibri"/>
            <w:color w:val="0000FF"/>
          </w:rPr>
          <w:t>СП 1.13130</w:t>
        </w:r>
      </w:hyperlink>
      <w:r>
        <w:rPr>
          <w:rFonts w:ascii="Calibri" w:hAnsi="Calibri" w:cs="Calibri"/>
        </w:rPr>
        <w:t xml:space="preserve"> в отношении конструктивных решений и применяемых материалов.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5.2.30. Каждая зона безопасности общественного здания 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Двери, стены помещений зон безопасности, а также пути движения к зонам безопасности должны быть обозначены эвакуационным знаком Е 21 по </w:t>
      </w:r>
      <w:hyperlink r:id="rId34" w:history="1">
        <w:r>
          <w:rPr>
            <w:rFonts w:ascii="Calibri" w:hAnsi="Calibri" w:cs="Calibri"/>
            <w:color w:val="0000FF"/>
          </w:rPr>
          <w:t>ГОСТ Р 12.4.026</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планах эвакуации должны быть обозначены места расположения зон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5.2.31. Верхнюю и нижнюю ступени в каждом марше эвакуационных лестниц следует окрашивать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0,05 - 0,065 м на проступи и 0,03 - 0,055 м на подступенке. Он должен визуально контрастировать с остальной поверхностью ступени.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Кромки ступеней или поручни лестниц на путях эвакуации должны быть окрашены краской, светящейся в темноте, или на них наклеены световые ленты.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5.2.32. Допускается для эвакуации предусматривать наружные эвакуационные лестницы (лестницы третьего типа), если они отвечают требованиям </w:t>
      </w:r>
      <w:hyperlink w:anchor="Par218" w:history="1">
        <w:r>
          <w:rPr>
            <w:rFonts w:ascii="Calibri" w:hAnsi="Calibri" w:cs="Calibri"/>
            <w:color w:val="0000FF"/>
          </w:rPr>
          <w:t>5.2.9</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должны выполняться одновременно следующие условия: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лестница должна находиться на расстоянии более 1,0 м от оконных и дверных проемов;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лестница должна иметь аварийное освещение.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предусматривать пути эвакуации для слепых и других инвалидов по открытым наружным металлическим лестницам.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5.2.33. На объектах с постоянным проживанием или временным пребыванием лиц с девиантным поведением на дверях эвакуационных выходов допускается применение электромагнитных замков. При этом следует предусмотреть разблокирование этих дверей одним из способов: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срабатывании автоматической пожарной сигнализации и (или) автоматической установки пожаротушения;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дистанционно с пожарного поста (с поста охраны);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месту с применением ручных магнитных ключей.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объектах с постоянным проживанием или временным пребыванием МГН в коридорах, лифтовых холлах, в лестничных клетках, где предусматривается эксплуатация дверей в открытом положении, следует предусматривать один из следующих способов закрывания дверей: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автоматическое закрывание этих дверей при срабатывании АПС и (или) автоматической установки пожаротушения;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дистанционное закрывание дверей с пожарного поста (с поста охраны);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механическое разблокирование дверей по месту.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эвакуации допускается применение раздвижных дверей при условии, что они: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имеют функцию "антипаника",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наряду с раздвижными имеются эвакуационные распашные двери,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5.2.34. Освещенность на путях эвакуации (в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w:t>
      </w:r>
      <w:hyperlink r:id="rId35" w:history="1">
        <w:r>
          <w:rPr>
            <w:rFonts w:ascii="Calibri" w:hAnsi="Calibri" w:cs="Calibri"/>
            <w:color w:val="0000FF"/>
          </w:rPr>
          <w:t>СП 52.13330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Перепад освещенности между соседними помещениями и зонами не должен быть более 1:4.</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5.3. Санитарно-бытовые помещения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5.3.1. Во всех зданиях, где имеются санитарно-бытовые помещения, должны быть предусмотрены специально оборудованные для МГН места в раздевальных, универсальные кабины в уборных и душевых, ванных.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5.3.2. В общем количестве кабин уборных общественных и производственных зданий доля доступных для МГН кабин должна составлять 7%, но не менее одной.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применяемой дополнительно универсальной кабине вход следует проектировать с учетом возможной разницы полов сопровождающего и инвалида.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5.3.3. Доступная кабина в общей уборной должна иметь размеры в плане не менее, м: ширина - 1,65, глубина - 1,8, ширина двери - 0,9. 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 В кабине должно быть свободное пространство диаметром 1,4 м для разворота кресла-коляски. Двери должны открываться наружу.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Габариты доступных и универсальных (специализированных) кабин могут изменяться в зависимости от расстановки применяемого оборудования.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универсальной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откидных опорных поручней, штанг, поворотных или откидных сидений. Размеры универсальной кабины в плане не менее, м: ширина - 2,2, глубина - 2,25.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из писсуаров следует располагать на высоте от пола не более 0,4 м или применять писсуар вертикальной формы. Следует применять унитазы, имеющие опору для спины.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5.3.4. В помещениях доступных душевых следует предусматривать не менее одной кабины, оборудованной для инвалида на кресле-коляске, перед которой следует предусматривать пространство для подъезда кресла-коляски.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5.3.5. Для инвалидов с нарушением опорно-двигательного аппарата и недостатками зрения следует предусматривать закрытые душевые кабины с открыванием двери наружу и входом непосредственно из гардеробной с нескользким полом и поддоном без порога.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Доступная душевая кабина для МГН должна быть оборудована переносным или закрепленным на стене складным сиденьем, расположенным на высоте не более 0,48 м от уровня поддона; ручным душем; настенными поручнями. Глубина сиденья должна быть не менее 0,48 м, длина - 0,85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Габариты поддона (трапа) должны быть не менее 0,9 x 1,5 м, свободной зоны - не менее 0,8 x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5.3.6. У дверей санитарно-бытовых помещений или доступных кабин (уборная, душевая, ванная и т.п.) следует предусматривать специальные знаки (в том числе рельефные) на высоте 1,35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Над входом в доступные кабины рекомендуется устанавливать световые мигающие оповещатели, срабатывающие при нажатии тревожной кнопки.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5.3.7. Геометрические параметры зон, используемых инвалидами, в том числе на креслах-колясках, в санитарно-бытовых помещениях общественных и производственных зданий, следует принимать по таблице 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Наименование                     │   Размеры в плане    │</w:t>
      </w:r>
    </w:p>
    <w:p w:rsidR="00EB6A55" w:rsidRDefault="00EB6A55">
      <w:pPr>
        <w:pStyle w:val="ConsPlusCell"/>
        <w:rPr>
          <w:rFonts w:ascii="Courier New" w:hAnsi="Courier New" w:cs="Courier New"/>
          <w:sz w:val="18"/>
          <w:szCs w:val="18"/>
        </w:rPr>
      </w:pPr>
      <w:r>
        <w:rPr>
          <w:rFonts w:ascii="Courier New" w:hAnsi="Courier New" w:cs="Courier New"/>
          <w:sz w:val="18"/>
          <w:szCs w:val="18"/>
        </w:rPr>
        <w:lastRenderedPageBreak/>
        <w:t>│                                                  │    (в чистоте), м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│Кабины душевых:                                   │                      │</w:t>
      </w:r>
    </w:p>
    <w:p w:rsidR="00EB6A55" w:rsidRDefault="00EB6A55">
      <w:pPr>
        <w:pStyle w:val="ConsPlusCell"/>
        <w:rPr>
          <w:rFonts w:ascii="Courier New" w:hAnsi="Courier New" w:cs="Courier New"/>
          <w:sz w:val="18"/>
          <w:szCs w:val="18"/>
        </w:rPr>
      </w:pPr>
      <w:r>
        <w:rPr>
          <w:rFonts w:ascii="Courier New" w:hAnsi="Courier New" w:cs="Courier New"/>
          <w:sz w:val="18"/>
          <w:szCs w:val="18"/>
        </w:rPr>
        <w:t>│ закрытые,                                        │      1,8 x 1,8       │</w:t>
      </w:r>
    </w:p>
    <w:p w:rsidR="00EB6A55" w:rsidRDefault="00EB6A55">
      <w:pPr>
        <w:pStyle w:val="ConsPlusCell"/>
        <w:rPr>
          <w:rFonts w:ascii="Courier New" w:hAnsi="Courier New" w:cs="Courier New"/>
          <w:sz w:val="18"/>
          <w:szCs w:val="18"/>
        </w:rPr>
      </w:pPr>
      <w:r>
        <w:rPr>
          <w:rFonts w:ascii="Courier New" w:hAnsi="Courier New" w:cs="Courier New"/>
          <w:sz w:val="18"/>
          <w:szCs w:val="18"/>
        </w:rPr>
        <w:t>│ открытые и со сквозным проходом; полудуши        │      1,2 x 0,9       │</w:t>
      </w:r>
    </w:p>
    <w:p w:rsidR="00EB6A55" w:rsidRDefault="00EB6A55">
      <w:pPr>
        <w:pStyle w:val="ConsPlusCell"/>
        <w:rPr>
          <w:rFonts w:ascii="Courier New" w:hAnsi="Courier New" w:cs="Courier New"/>
          <w:sz w:val="18"/>
          <w:szCs w:val="18"/>
        </w:rPr>
      </w:pPr>
      <w:r>
        <w:rPr>
          <w:rFonts w:ascii="Courier New" w:hAnsi="Courier New" w:cs="Courier New"/>
          <w:sz w:val="18"/>
          <w:szCs w:val="18"/>
        </w:rPr>
        <w:t>│Кабины личной гигиены женщин                      │      1,8 x 2,6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Примечание. Габаритные  размеры  могут  быть  уточнены   в   процессе│</w:t>
      </w:r>
    </w:p>
    <w:p w:rsidR="00EB6A55" w:rsidRDefault="00EB6A55">
      <w:pPr>
        <w:pStyle w:val="ConsPlusCell"/>
        <w:rPr>
          <w:rFonts w:ascii="Courier New" w:hAnsi="Courier New" w:cs="Courier New"/>
          <w:sz w:val="18"/>
          <w:szCs w:val="18"/>
        </w:rPr>
      </w:pPr>
      <w:r>
        <w:rPr>
          <w:rFonts w:ascii="Courier New" w:hAnsi="Courier New" w:cs="Courier New"/>
          <w:sz w:val="18"/>
          <w:szCs w:val="18"/>
        </w:rPr>
        <w:t>│проектирования  в  зависимости  от  применяемого   оборудования   и   его│</w:t>
      </w:r>
    </w:p>
    <w:p w:rsidR="00EB6A55" w:rsidRDefault="00EB6A55">
      <w:pPr>
        <w:pStyle w:val="ConsPlusCell"/>
        <w:rPr>
          <w:rFonts w:ascii="Courier New" w:hAnsi="Courier New" w:cs="Courier New"/>
          <w:sz w:val="18"/>
          <w:szCs w:val="18"/>
        </w:rPr>
      </w:pPr>
      <w:r>
        <w:rPr>
          <w:rFonts w:ascii="Courier New" w:hAnsi="Courier New" w:cs="Courier New"/>
          <w:sz w:val="18"/>
          <w:szCs w:val="18"/>
        </w:rPr>
        <w:t>│размещения.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widowControl w:val="0"/>
        <w:autoSpaceDE w:val="0"/>
        <w:autoSpaceDN w:val="0"/>
        <w:adjustRightInd w:val="0"/>
        <w:spacing w:after="0" w:line="240" w:lineRule="auto"/>
        <w:ind w:left="540"/>
        <w:jc w:val="both"/>
        <w:rPr>
          <w:rFonts w:ascii="Calibri" w:hAnsi="Calibri" w:cs="Calibri"/>
          <w:sz w:val="18"/>
          <w:szCs w:val="18"/>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5.3.8. Ширину проходов между рядами следует принимать не менее, м:</w:t>
      </w:r>
    </w:p>
    <w:p w:rsidR="00EB6A55" w:rsidRDefault="00EB6A55">
      <w:pPr>
        <w:pStyle w:val="ConsPlusNonformat"/>
      </w:pPr>
      <w:r>
        <w:t xml:space="preserve">    для кабин душевых закрытых и открытых, умывальников групповых</w:t>
      </w:r>
    </w:p>
    <w:p w:rsidR="00EB6A55" w:rsidRDefault="00EB6A55">
      <w:pPr>
        <w:pStyle w:val="ConsPlusNonformat"/>
      </w:pPr>
      <w:r>
        <w:t>и одиночных, уборных, писсуаров ............................. 1,8;</w:t>
      </w:r>
    </w:p>
    <w:p w:rsidR="00EB6A55" w:rsidRDefault="00EB6A55">
      <w:pPr>
        <w:pStyle w:val="ConsPlusNonformat"/>
      </w:pPr>
      <w:r>
        <w:t xml:space="preserve">    для шкафов гардеробных со скамьями (с учетом скамей) .... 2,4;</w:t>
      </w:r>
    </w:p>
    <w:p w:rsidR="00EB6A55" w:rsidRDefault="00EB6A55">
      <w:pPr>
        <w:pStyle w:val="ConsPlusNonformat"/>
      </w:pPr>
      <w:r>
        <w:t xml:space="preserve">    то же, без скамей ....................................... 1,8.</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5.3.9. В доступных кабинах 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Применение кранов с раздельным управлением горячей и холодной водой не допускается.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5.4. Внутреннее оборудование и устройства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5.4.1. При подборе типа внутреннего оборудования, используемого МГН, и его размещения в здании, помещениях необходимо учитывать их соответствие требованиям ГОСТ Р 53453.</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Целесообразно использовать контрастные сочетания цветов в применяемом оборудовании (дверь - стена, ручка; санитарный прибор - пол, стена; стена - выключатели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5.4.2. Приборы для открывания и закрытия дверей, горизонтальные поручни, а также ручки, рычаги, краны и кнопки различных аппаратов, отверстия торговых, питьевых и билетных автоматов, отверстия для чипкарт и других систем контроля, терминалы и рабочие дисплеи и прочие устройства, которыми могут воспользоваться МГН внутри здания, следует устанавливать на высоте не более 1,1 м и не менее 0,85 м от пола и на расстоянии не менее 0,4 м от боковой стены помещения или другой вертикальной плоскости.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Выключатели и электророзетки в помещениях следует предусматривать на высоте не более 0,8 м от уровня пола. Допускается применение, в соответствии с техническим заданием, выключателей (включателей) дистанционного управления электроосвещением, зашториванием, электронными приборами и иной техникой.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5.4.3. Следует применять дверные ручки, запоры, задвижки и другие приборы открывания и закрытия дверей, которые должны иметь форму, позволяющую инвалиду управлять ими одной рукой и не требующую применения слишком больших усилий или значительных поворотов руки в запястье. Целесообразно ориентироваться на применение легко управляемых приборов и механизмов, а также П-образных ручек.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Ручки на полотнах раздвижных дверей должны устанавливаться таким образом, чтобы при полностью открытых дверях эти ручки были легкодоступными с обеих сторон двери.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Ручки дверей, расположенных в углу коридора или помещения, должны размещаться на расстоянии от боковой стены не менее 0,6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5.4.4. На входных дверях в специальных помещениях (бойлерных, вентиляционных камерах, трансформаторных узлах и т.п.) следует применять дверные ручки, имеющие поверхность с опознавательными насечками или неровностями, ощущаемыми тактильно.</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5.5. Аудиовизуальные информационные системы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5.5.1. Доступные для МГН элементы здания и территории должны идентифицироваться символами доступности в следующих местах: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парковочные места;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посадки пассажиров;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входы, если не все входы в здание, сооружение являются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в общих санузлах;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гардеробные, примерочные, раздевалки в зданиях, в которых не все подобные помещения являются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лифты и другие подъемные устройства;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зоны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проходы в других местах обслуживания МГН, где не все проходы являются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Указатели направления, указывающие путь к ближайшему доступному элементу, могут предусматриваться при необходимости в следующих местах: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недоступные входы в здание;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недоступные общественные уборные, душевые, ванные;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лифты, не приспособленные для перевозки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выходы и лестницы, не являющиеся путями эвакуации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5.5.2. Системы средств информации и сигнализации об опасности, размещаемые в помещениях (кроме помещений с мокрыми процессами), предназначенных для пребывания всех категорий инвалидов и на путях их движения, должны быть комплексными и предусматривать визуальную, звуковую и тактильную информацию с указанием направления движения и мест получения услуги. Они должны соответствовать требованиям ГОСТ Р 51671, ГОСТ Р 51264, а также учитывать требования </w:t>
      </w:r>
      <w:hyperlink r:id="rId36" w:history="1">
        <w:r>
          <w:rPr>
            <w:rFonts w:ascii="Calibri" w:hAnsi="Calibri" w:cs="Calibri"/>
            <w:color w:val="0000FF"/>
          </w:rPr>
          <w:t>СП 1.13130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Применяемые средства информации (в том числе знаки и символы) должны быть идентичными в пределах здания или комплекса зданий и сооружений, размещаемых в одном районе, в пределах предприятия, транспортного маршрута и т.п. и соответствовать знакам, установленным действующими нормативными документами по стандартизации. Целесообразно использовать международные символы.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5.5.3. Система средств информации зон и помещений (особенно в местах массового посещения), входных узлов и путей движения должна обеспечивать непрерывность информации, своевременное ориентирование и однозначное опознание объектов и мест посещения. Она должна предусматривать возможность получения информации об ассортименте предоставляемых услуг, размещении и назначении функциональных элементов, расположении путей эвакуации, предупреждать об опасностях в экстремальных ситуациях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Здание или сооружение по заданию на проектирование может быть дополнительно оборудовано радиомаяками (радиометками) для слепых или слабовидящих посетителей, имеющих радиоинформаторы. Радиомаяки устанавливаются над дверными проемами и на стенах помещений.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5.5.4. Визуальная информация должна располагаться на контрастном фоне с размерами знаков, соответствующими расстоянию рассмотрения, быть увязана с художественным решением интерьера и располагаться на высоте не менее 1,5 м и не более 4,5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Кроме визуальной должна быть предусмотрена звуковая сигнализация, а также по заданию на проектирование - стробоскопическая сигнализация (в виде прерывистых световых сигналов), сигналы которой должны быть видимы в местах скопления людей. Максимальная частота стробоскопических импульсов - 1 - 3 Гц.</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5.5.5. Световые оповещатели, эвакуационные знаки пожарной безопасности, указывающие направление движения, подключенные к системе оповещения и управления эвакуацией людей при пожаре, к системе оповещения о стихийных бедствиях и экстремальных ситуациях, следует устанавливать в помещениях и зонах общественных зданий и сооружений, посещаемых МГН, и производственных помещениях, имеющих рабочие места для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аварийной звуковой сигнализации следует применять приборы, обеспечивающие уровень звука не менее 80 - 100 дБ в течение 30 с.</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Звуковые сигнализаторы (электрические, механические или электронные) должны удовлетворять требованиям ГОСТ 21786. Аппаратура привода их в действие должна находиться не менее чем за 0,8 м до предупреждаемого участка пути.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Шумовые индикаторы следует использовать в помещениях с хорошей звукоизоляцией или в </w:t>
      </w:r>
      <w:r>
        <w:rPr>
          <w:rFonts w:ascii="Calibri" w:hAnsi="Calibri" w:cs="Calibri"/>
        </w:rPr>
        <w:lastRenderedPageBreak/>
        <w:t>помещениях при незначительных уровнях шумов субъективного происхождения.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5.5.6. В вестибюлях общественных зданий следует предусматривать установку звуковых информаторов по типу телефонов-автоматов, которыми могут пользоваться посетители с недостатками зрения, и текстофонов для посетителей с дефектами слуха. Аналогично должны быть оснащены справочные всех видов, билетные кассы массовой продажи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Визуальная информация должна располагаться на контрастном фоне на высоте не менее 1,5 м и не более 4,5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5.5.7. Замкнутые пространства зданий (помещения различного функционального назначения, кабины уборной, лифт, кабина примерочной и т.п.), где инвалид, в том числе с дефектами слуха, может оказаться один, а также лифтовые холлы и зоны безопасности должны быть оборудованы системой двусторонней связи с диспетчером или дежурным. 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В таких помещениях (кабинах) должно предусматриваться аварийное освещение.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общественной уборной тревожный сигнал или извещатель должен выводиться в дежурную комнату.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5.5.8. Информирующие обозначения помещений внутри здания должны дублироваться рельефными знаками и размещаться рядом с дверью со стороны дверной ручки и крепиться на высоте от 1,3 до 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Нумерация шкафов в раздевальных должна быть выполнена рельефным шрифтом и на контрастном фоне.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5.5.9. Примеры обустройства зданий, сооружений и их помещений приведены в Приложении Д, на </w:t>
      </w:r>
      <w:hyperlink w:anchor="Par1023" w:history="1">
        <w:r>
          <w:rPr>
            <w:rFonts w:ascii="Calibri" w:hAnsi="Calibri" w:cs="Calibri"/>
            <w:color w:val="0000FF"/>
          </w:rPr>
          <w:t>рисунках Д.1</w:t>
        </w:r>
      </w:hyperlink>
      <w:r>
        <w:rPr>
          <w:rFonts w:ascii="Calibri" w:hAnsi="Calibri" w:cs="Calibri"/>
        </w:rPr>
        <w:t xml:space="preserve"> - </w:t>
      </w:r>
      <w:hyperlink w:anchor="Par1089" w:history="1">
        <w:r>
          <w:rPr>
            <w:rFonts w:ascii="Calibri" w:hAnsi="Calibri" w:cs="Calibri"/>
            <w:color w:val="0000FF"/>
          </w:rPr>
          <w:t>Д.12</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5.5.10. На каждом этаже многоуровневой автостоянки должны быть установлены информационные мониторы,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6. Специальные требования к местам проживания инвалидов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6.1. Общие требования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6.1.1. При проектировании жилых многоквартирных зданий кроме данного документа следует учитывать требования </w:t>
      </w:r>
      <w:hyperlink r:id="rId37" w:history="1">
        <w:r>
          <w:rPr>
            <w:rFonts w:ascii="Calibri" w:hAnsi="Calibri" w:cs="Calibri"/>
            <w:color w:val="0000FF"/>
          </w:rPr>
          <w:t>СП 54.13330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6.1.2. Доступными для МГН должны быть придомовые территории (пешеходные пути движения и площадки), помещения от входа в здание до зоны проживания инвалида (квартира, жилая ячейка, комната, кухня, санузлы) в многоквартирных домах и общежитиях, помещения в жилой и сервисной частях (группе обслуживающих помещений) гостиниц и других зданий временного пребывания.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6.1.3. Габаритные схемы путей движения и функциональных мест рассчитываются на движение инвалида на кресле-коляске, а по оборудованию - также и на слабовидящих, незрячих и глухих.</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3" w:name="Par409"/>
      <w:bookmarkEnd w:id="3"/>
      <w:r>
        <w:rPr>
          <w:rFonts w:ascii="Calibri" w:hAnsi="Calibri" w:cs="Calibri"/>
        </w:rPr>
        <w:t>6.1.4. Жилые многоквартирные дома и жилые помещения общественных зданий следует проектировать, обеспечивая потребности инвалидов, включая: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квартиры или жилого помещения от уровня земли перед входом в здание;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доступность из квартиры или жилого помещения всех помещений, обслуживающих жителей или посетителей;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применение оборудования, отвечающего потребностям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безопасности и удобства пользования оборудованием и приборами.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6.1.5. В жилых домах галерейного типа ширина галерей должна быть не менее 2,4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6.1.6. Расстояние от наружной стены до ограждения балкона, лоджии должно быть не менее 1,4 м; высота ограждения - в пределах от 1,15 до 1,2 м. Каждый конструктивный элемент порога наружной двери на балкон или лоджию не должен быть выше 0,014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Примечание. При наличии свободного пространства от проема балконной двери в каждую сторону не менее 1,2 м, расстояние от ограждения до стены допускается сократить до 1,2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Ограждения балконов и лоджий в зоне между высотами от 0,45 до 0,7 м от уровня пола должны быть прозрачными для обеспечения хорошего обзора инвалиду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6.1.7. Размеры в плане санитарно-гигиенических помещений для индивидуального пользования в жилых зданиях должны быть не менее, м:</w:t>
      </w:r>
    </w:p>
    <w:p w:rsidR="00EB6A55" w:rsidRDefault="00EB6A55">
      <w:pPr>
        <w:pStyle w:val="ConsPlusNonformat"/>
      </w:pPr>
      <w:r>
        <w:t xml:space="preserve">    ванной комнаты или совмещенного санитарного узла .. 2,2 x 2,2;</w:t>
      </w:r>
    </w:p>
    <w:p w:rsidR="00EB6A55" w:rsidRDefault="00EB6A55">
      <w:pPr>
        <w:pStyle w:val="ConsPlusNonformat"/>
      </w:pPr>
      <w:r>
        <w:t xml:space="preserve">    уборной с умывльником (рукомойником) .............. 1,6 x 2,2;</w:t>
      </w:r>
    </w:p>
    <w:p w:rsidR="00EB6A55" w:rsidRDefault="00EB6A55">
      <w:pPr>
        <w:pStyle w:val="ConsPlusNonformat"/>
      </w:pPr>
      <w:r>
        <w:t xml:space="preserve">    уборной без умывальника ........................... 1,2 x 1,6.</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Габаритные размеры могут быть уточнены в процессе проектирования в зависимости от применяемого оборудования и его размещения.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6.1.8. Ширину проема в свету входной двери в квартиру и балконной двери следует принимать не менее 0,9 м.</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4" w:name="Par426"/>
      <w:bookmarkEnd w:id="4"/>
      <w:r>
        <w:rPr>
          <w:rFonts w:ascii="Calibri" w:hAnsi="Calibri" w:cs="Calibri"/>
        </w:rPr>
        <w:t>Ширина дверного проема в санитарно-гигиенические помещения жилых домов должна быть не менее 0,8 м, ширину проема в чистоте межкомнатных дверей в квартире следует принимать не менее 0,8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6.2. Дома жилищного фонда социального использования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 При учете потребностей инвалидов в специализированной форме проживания приспособление зданий и их помещений рекомендуется производить по индивидуальной программе с учетом задач, конкретизируемых заданием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6.2.2. Многоквартирные жилые дома с квартирами, предназначенными для проживания инвалидов и людей пожилого возраста, следует проектировать не ниже второй степени огнестойкости.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6.2.3. В жилых домах муниципального социального жилищного фонда следует устанавливать заданием на проектирование количество и специализацию квартир по отдельным категориям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проектировании жилых помещений следует предусматривать возможность последующего их переоснащения при необходимости учета потребности других категорий проживающих.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6.2.4. При проектировании квартир для семей с инвалидами на креслах-колясках в уровне первого этажа следует обеспечивать возможность выхода непосредственно на придомовую территорию или приквартирный участок. Для отдельного входа через приквартирный тамбур и устройства подъемника рекомендуется увеличение площади квартиры на 12 м2. Параметры подъемника принимать по ГОСТ Р 51633.</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6.2.5. Жилая зона для проживания инвалидов должна иметь, как минимум, жилую комнату, совмещенный санитарный узел, доступный для инвалида, холл-переднюю площадью не менее 4 м2 и доступный путь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6.2.6. Минимальный размер жилого помещения для инвалида, передвигающегося на кресле-коляске, должен составлять не менее 16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6.2.7. Ширина (по наружной стене) жилой комнаты для проживания инвалидов должна быть не менее 3,0 м (для немощных - 3,3 м; передвигающихся на кресле-коляске - 3,4 м). Глубина (перпендикулярно наружной стене) комнаты должна быть не более ее двойной ширины. При наличии перед наружной стеной с окном летнего помещения глубиной 1,5 м и более глубина комнаты должна быть не более 4,5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спального помещения для инвалидов должна быть не менее 2,0 м (для немощных - 2,5 м; для передвигающихся на кресле-коляске - 3,0 м). Глубина помещения должна быть не менее 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6.2.8. Площадь общей комнаты (гостиной) рекомендуется принимать не менее: в одно-, двухкомнатных квартирах - 18 м2; в трех-, четырехкомнатных квартирах - 20 - 22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6.2.9. Площадь кухни квартир для семей с инвалидами на креслах-колясках в жилых домах </w:t>
      </w:r>
      <w:r>
        <w:rPr>
          <w:rFonts w:ascii="Calibri" w:hAnsi="Calibri" w:cs="Calibri"/>
        </w:rPr>
        <w:lastRenderedPageBreak/>
        <w:t>социального жилищного фонда следует принимать не менее 9 м2. Ширина такой кухни должна быть не менее: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м - при одностороннем размещении оборудования;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м - при двухстороннем или угловом размещении оборудования.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Кухни следует оснащать электроплитами.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квартирах для семей с инвалидами, пользующимися креслами-колясками, вход в помещение, оборудованное унитазом, допускается проектировать из кухни или жилой комнаты и оборудовать сдвижной дверью.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6.2.10. Ширина подсобных помещений в квартирах для семей с инвалидами (в том числе на креслах-колясках) должна быть не менее, м:</w:t>
      </w:r>
    </w:p>
    <w:p w:rsidR="00EB6A55" w:rsidRDefault="00EB6A55">
      <w:pPr>
        <w:pStyle w:val="ConsPlusNonformat"/>
      </w:pPr>
      <w:r>
        <w:t xml:space="preserve">    передней (с возможностью хранения кресла-коляски) ....... 1,4;</w:t>
      </w:r>
    </w:p>
    <w:p w:rsidR="00EB6A55" w:rsidRDefault="00EB6A55">
      <w:pPr>
        <w:pStyle w:val="ConsPlusNonformat"/>
      </w:pPr>
      <w:r>
        <w:t xml:space="preserve">    внутриквартирных коридоров ............................. 1,15.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6.2.11. В жилых домах муниципального социального жилищного фонда следует предусматривать возможность установки при необходимости видеофонов для лиц с нарушением слуха, а также предусмотреть для этой категории лиц улучшенную звукоизоляцию жилых помещений.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составе квартиры инвалида целесообразно предусмотреть кладовую площадью не менее 4 м2 для хранения инструментов, материалов и изделий, используемых и производимых инвалидами при работах на дому, а также для размещения тифлотехники и брайлевской литературы.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6.3. Помещения временного пребывания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6.3.1. В гостиницах, мотелях, пансионатах, кемпингах и т.п. планировку и оборудование 5% жилых номеров следует предусматривать универсальными, с учетом расселения любых категорий посетителей, в том числе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обеспечить в номере свободное пространство диаметром 1,4 м перед дверью, у кровати, перед шкафами и окнами.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6.3.2. При планировке номеров гостиниц и других учреждений временного пребывания следует учитывать требования </w:t>
      </w:r>
      <w:hyperlink w:anchor="Par409" w:history="1">
        <w:r>
          <w:rPr>
            <w:rFonts w:ascii="Calibri" w:hAnsi="Calibri" w:cs="Calibri"/>
            <w:color w:val="0000FF"/>
          </w:rPr>
          <w:t>6.1.3</w:t>
        </w:r>
      </w:hyperlink>
      <w:r>
        <w:rPr>
          <w:rFonts w:ascii="Calibri" w:hAnsi="Calibri" w:cs="Calibri"/>
        </w:rPr>
        <w:t xml:space="preserve"> - </w:t>
      </w:r>
      <w:hyperlink w:anchor="Par426" w:history="1">
        <w:r>
          <w:rPr>
            <w:rFonts w:ascii="Calibri" w:hAnsi="Calibri" w:cs="Calibri"/>
            <w:color w:val="0000FF"/>
          </w:rPr>
          <w:t>6.1.8</w:t>
        </w:r>
      </w:hyperlink>
      <w:r>
        <w:rPr>
          <w:rFonts w:ascii="Calibri" w:hAnsi="Calibri" w:cs="Calibri"/>
        </w:rPr>
        <w:t xml:space="preserve"> настоящего документа.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6.3.3. Все виды сигнализации следует проектировать с учетом их восприятия всеми категориями инвалидов и требований ГОСТ Р 51264. Места размещения и назначение сигнализаторов определяется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Следует применять домофоны со звуковой, вибрационной и световой сигнализацией, а также видеодомофоны.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Жилые помещения для постоянного проживания инвалидов должны быть оборудованы автономными пожарными извещателями.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7. Специальные требования к местам обслуживания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маломобильных групп населения в общественных зданиях</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7.1. Общие положения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 При проектировании общественных зданий кроме данного документа следует учитывать требования СП 59.13330.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Перечень элементов зданий и сооружений (помещений, зон и мест), доступных для МГН, расчетная численность и категория инвалидов устанавливаются в необходимых случаях заданием на проектирование, утверждаемым в установленном порядке по согласованию с территориальным органом социальной защиты населения и с учетом мнения общественных объединений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7.1.2. При реконструкции, капитальном ремонте и приспособлении существующих зданий для МГН в проекте должны быть предусмотрены доступность и удобства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зависимости от объемно-планировочных решений здания, от расчетного числа маломобильных посетителей, функциональной организации учреждения обслуживания следует </w:t>
      </w:r>
      <w:r>
        <w:rPr>
          <w:rFonts w:ascii="Calibri" w:hAnsi="Calibri" w:cs="Calibri"/>
        </w:rPr>
        <w:lastRenderedPageBreak/>
        <w:t>применять один из двух вариантов форм обслуживания: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"А"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вариант "Б"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7.1.4. При наличии нескольких идентичных мест (приборов, устройств и т.п.) обслуживания посетителей 5% общего числа, но не менее одного, должны быть запроектированы так, чтобы инвалид мог ими воспользоваться (если иного не указывается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7.1.5. Все проходы (кроме одностороннего) должны обеспечивать возможность разворота на 180° с диаметром не менее 1,4 м или на 360° с диаметром не менее 1,5 м, а также фронтального (вдоль прохода) обслуживания инвалидов на кресле-коляске вместе с сопровождающим.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7.1.6. При ширине прохода не более 1,8 м рекомендуется предусматривать через каждые 10 - 15 м длины коридора, но не менее одного на коридор, уширение глубиной 1,8 м, длиной - 3,0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7.1.7. В зрительных залах, на трибунах спортивно-зрелищных сооружений и других зрелищных объектах со стационарными местами должны быть предусмотрены места для людей на креслах-колясках из расчета не менее 1% общего числа зрителей.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Выделенная для этого площадка должна быть горизонтальной с уклоном не более 2%. Каждое место должно иметь размеры не менее,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доступе сбоку - 0,55 x 0,85;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доступе спереди или сзади - 1,25 x 0,85.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многоуровневых зрелищных помещениях общественных зданий, где на втором этаже или промежуточном уровне размещается не более 25% мест и не более 300 сиденьев, все места для кресел-колясок могут размещаться на основном уровне.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Залы вместимостью более 800 мест рекомендуется дополнительно оснащать телемониторами.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каждом зале со звуковой системой должна быть система усиления звука, индивидуальная или коллективного пользования.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в зале затемнения в зоне зрительских мест пандусы и ступени должны иметь подсветку.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7.1.8. При входах в здания массового посещения (вокзалы всех видов транспорта, учреждения социального назначения, торговые предприятия, административно-управленческие учреждения, многофункциональные комплексы и т.п.) для инвалидов по зрению должна быть установлена информационная мнемосхема (тактильная схема движения), отображающая информацию о помещениях в здании, не мешающая основному потоку посетителей. Она должна размещаться с правой стороны по ходу движения на удалении от 3 до 5 м. На основных путях движения следует предусмотреть тактильную направляющую полосу с высотой рисунка не более 0,025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7.1.9. При проектировании интерьеров, подборе и расстановке приборов и устройств, технологического и другого оборудования следует исходить из того, что зона досягаемости для посетителя в кресле-коляске должна находиться в пределах: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расположении сбоку от посетителя - не выше 1,4 м и не ниже 0,3 м от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фронтальном подходе - не выше 1,2 м и не ниже 0,4 м от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Поверхность столов индивидуального пользования, прилавков, низа окошек касс, справочных и других мест обслуживания, используемых посетителями на креслах-колясках, должна находиться на высоте не более 0,85 м над уровнем пола. Ширина и высота проема для ног должна быть не менее 0,75 м, глубиной не менее 0,49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Часть стойки-барьера выдачи книг в абонементе рекомендуется предусматривать высотой 0,85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рабочего фронта прилавка, стола, стойки, барьера и т.п. у места получения услуги должна быть не менее 1,0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7.1.10. У мест или зон для зрителей на креслах-колясках в аудиториях с амфитеатром, зрительных и лекционных залах следует предусматривать меры безопасности (ограду, буферную полосу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7.1.11. В аудиториях, зрительных и лекционных залах вместимостью более 50 человек, оборудованных фиксированными сидячими местами, необходимо предусматривать не менее 5% кресел с вмонтированными системами индивидуального прослушивания.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7.1.12. Места для лиц с дефектами слуха следует размещать на расстоянии не более 3 м от источника звука или оборудовать специальными персональными приборами усиления звука.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применять в залах индукционный контур или другие индивидуальные беспроводные устройства. Эти места следует располагать в зоне хорошей видимости сцены и переводчика жестового языка. Необходимость выделения дополнительной (с индивидуальным освещением) зоны для переводчика устанавливается заданием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7.1.13. Площадь помещения для индивидуального приема посетителей, доступного и для инвалидов, должна быть 12 м2, а на два рабочих места - 18 м2. В помещениях или зонах приема или обслуживания посетителей на несколько мест, доступных для МГН, должно быть одно место или несколько мест, скомпонованных в общую зону.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7.1.14. Планировка кабины для переодевания, примерочной и т.п. должны иметь свободное пространство размером не менее 1,5 x 1,5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7.2. Здания и помещения учебно-воспитательного назначения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7.2.1. Здания общеобразовательных учреждений рекомендуется проектировать доступными для всех категорий учащихся.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Проектные решения зданий профессиональных образовательных учреждений должны учитывать возможность обучения студентов-инвалидов по специальностям, утвержденным действующим законодательством. Количество обучающихся по группам устанавливается заказчиком в здании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Здания специальных реабилитационных образовательных учреждений, сочетающих обучение с коррекцией и компенсацией недостатков развития по определенному виду заболевания, проектируются по специальному заданию на проектирование, включающему перечень и площади помещений, специализированное оборудование и организацию учебного и реабилитационного процессов с учетом специфики преподавания.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7.2.2. Лифт для учащихся-инвалидов, передвигающихся в инвалидном кресле, в учреждениях общего образования, а также начального и среднего профессионального образования должен предусматриваться в выделенном лифтовом холле.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7.2.3. Ученические места для учащихся-инвалидов должны размещаться идентично в однотипных учебных помещениях одного учебного учреждения.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учебном помещении первые столы в ряду у окна и в среднем ряду следует предусмотреть для учащихся с недостатками зрения и дефектами слуха, а для учащихся, передвигающихся в кресле-коляске - выделить 1 - 2 первых стола в ряду у дверного проема.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7.2.4. 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50 - 150 мест - 3 - 5 мест; в зале на 151 - 300 мест - 5 - 7 мест; в зале на 301 - 500 мест - 7 - 10 мест; в зале на 501 - 800 мест - 10 - 15 мест, а также их доступность на эстраду, сцену.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для учащихся-инвалидов с повреждением опорно-двигательного аппарата следует предусматривать на горизонтальных участках пола, в рядах, непосредственно примыкающих к проходам и в одном уровне с входом в актовый зал.</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7.2.5. В читальном зале библиотеки образовательного учреждения не менее 5% читальных мест следует оборудовать с учетом доступа учащихся-инвалидов и отдельно - для учащихся с недостатками зрения. Рабочее место для инвалидов по зрению должно иметь дополнительное </w:t>
      </w:r>
      <w:r>
        <w:rPr>
          <w:rFonts w:ascii="Calibri" w:hAnsi="Calibri" w:cs="Calibri"/>
        </w:rPr>
        <w:lastRenderedPageBreak/>
        <w:t>освещение по периметру.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7.2.6. В образовательных учреждениях в раздевальных физкультурного зала и бассейна для учащихся-инвалидов следует предусматривать закрытую раздевальную с душем и унитазом.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7.2.7. В образовательных учреждениях для учащихся инвалидов с нарушением слуха во всех помещениях следует предусмотреть установку светового сигнализатора школьного звонка, а также световой сигнализации об эвакуации в случае чрезвычайных ситуаций.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7.3. Здания и помещения здравоохранения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социального обслуживания населения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7.3.1. Для проектирования зданий учреждений стационарного и полустационарного социального обслуживания (хосписы, дома сестринского ухода, дома-интернаты и т.п.) и зданий, предназначенных для стационарного пребывания больных, в том числе инвалидов и других МГН (больницы и диспансеры различного уровня обслуживания и различного профиля - психиатрические, кардиологические, восстановительного лечения и др.), в техническом задании должны устанавливаться дополнительные медико-технологические требования. При проектировании учреждений социального обслуживания граждан пожилого возраста и инвалидов следует соблюдать также ГОСТ Р 52880.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7.3.2. Для пациентов и посетителей реабилитационных учреждений, специализирующихся на лечении людей с ограничениями в передвижении, следует выделять на автостоянках до 10% мест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Зона посадки пассажиров должна быть предусмотрена у доступного входа в медицинское учреждение, где люди получают медицинскую помощь или лечение.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7.3.3. Входы в медицинские учреждения для пациентов и посетителей должны иметь визуальную, тактильную и акустическую (речевую и звуковую) информацию с указанием групп помещений (отделений), в которые можно попасть через данный вход.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Входы в кабинеты врачей и процедурные должны быть оборудованы световыми сигнализаторами вызова пациентов.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7.3.4. Травмпункт, инфекционный кабинет и приемное отделение должны иметь автономные наружные входы, доступные для инвалидов. Травмпункт должен размещаться на первом этаже.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7.3.5. Ширина коридоров, используемых для ожидания, при двустороннем расположении кабинетов должна быть не менее 3,2 м, при одностороннем - не менее 2,8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7.3.6. Не менее чем один из отсеков зала лечебных и грязевых ванн, включая раздевальную при нем, должен быть приспособлен для инвалида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залах лечебной физкультуры в качестве ограждений, направляющих и ограничивающих движение, следует применять приспособления и материалы, смягчающие удар.</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7.4. Здания и помещения сервисного обслуживания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торговли</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7.4.2.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 (таблица 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2</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Доступные проходы расчетно-кассовой зоны</w:t>
      </w:r>
    </w:p>
    <w:p w:rsidR="00EB6A55" w:rsidRDefault="00EB6A55">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340"/>
        <w:gridCol w:w="5040"/>
      </w:tblGrid>
      <w:tr w:rsidR="00EB6A55">
        <w:trPr>
          <w:tblCellSpacing w:w="5" w:type="nil"/>
        </w:trPr>
        <w:tc>
          <w:tcPr>
            <w:tcW w:w="434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Общее число проходов     </w:t>
            </w:r>
          </w:p>
        </w:tc>
        <w:tc>
          <w:tcPr>
            <w:tcW w:w="504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Число доступных проходов (минимум)</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1 - 4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                 </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5 - 8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2                 </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9 - 15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3                 </w:t>
            </w:r>
          </w:p>
        </w:tc>
      </w:tr>
      <w:tr w:rsidR="00EB6A55">
        <w:trPr>
          <w:tblCellSpacing w:w="5" w:type="nil"/>
        </w:trPr>
        <w:tc>
          <w:tcPr>
            <w:tcW w:w="43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Более 15           </w:t>
            </w:r>
          </w:p>
        </w:tc>
        <w:tc>
          <w:tcPr>
            <w:tcW w:w="50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3 + 20% дополнительных проходов  </w:t>
            </w:r>
          </w:p>
        </w:tc>
      </w:tr>
    </w:tbl>
    <w:p w:rsidR="00EB6A55" w:rsidRDefault="00EB6A55">
      <w:pPr>
        <w:widowControl w:val="0"/>
        <w:autoSpaceDE w:val="0"/>
        <w:autoSpaceDN w:val="0"/>
        <w:adjustRightInd w:val="0"/>
        <w:spacing w:after="0" w:line="240" w:lineRule="auto"/>
        <w:ind w:firstLine="540"/>
        <w:jc w:val="both"/>
        <w:rPr>
          <w:rFonts w:ascii="Calibri" w:hAnsi="Calibri" w:cs="Calibri"/>
          <w:sz w:val="20"/>
          <w:szCs w:val="20"/>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7.4.3.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7.4.4.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питания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7.4.5. В обеденных залах предприятий питания (или в зонах, предназначенных для специализированного обслуживания МГН) рекомендуется предусматривать обслуживание инвалидов официантами. Площадь таких обеденных залов следует определять исходя из норматива площади не менее 3 м2 на место.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7.4.6. В предприятиях самообслуживания рекомендуется отводить не менее 5% мест, а при вместимости зала более 80 мест - не менее 4%, но не менее одного для лиц, передвигающихся на креслах-колясках и с недостатками зрения, с площадью каждого места не менее 3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7.4.7. В помещениях обеденных залов расстановка столов, инвентаря и оборудования должна обеспечивать беспрепятственное движение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буфетах и закусочных должно быть не менее одного стола высотой 0,65 - 0,7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между столами в ресторане должна быть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Секция стойки бара для инвалидов на кресле-коляске должна иметь ширину столешницы 1,6 м, высоту от пола 0,85 м и свободное пространство для ног 0,75 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Предприятия бытового обслуживания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7.4.8.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Здания вокзалов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7.4.9. Помещения зданий вокзалов разных видов пассажирского транспорта (железнодорожного, автомобильного, воздушного, речного и морского), переходы, платформы и другие сооружения, предназначенные для обслуживания пассажиров, должны быть доступными для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7.4.10. В зданиях вокзалов следует предусматривать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помещения и сооружения обслуживания: вестибюли; операционные и кассовые залы; камеры хранения ручного багажа; пункты регистрации пассажиров и багажа; специальные помещения ожидания и отдыха - депутатские комнаты, комнаты матери и ребенка, комнаты длительного отдыха; уборные;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помещения, зоны в них или сооружения дополнительного обслуживания: торговые (обеденные) залы ресторанов, кафе, кафетериев, закусочных; торговые, аптечные и другие киоски, парикмахерские, залы игровых автоматов, торговые и прочие автоматы, пункты предприятий связи, таксофоны;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служебные помещения: дежурного администратора, пункта медицинской помощи, охраны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7.4.11. Площадь зон отдыха и ожидания для МГН в зданиях вокзалов, если она создается, определяется исходя из показателя - 2,1 м2 на одно место. Часть диванов или скамей для сидения в залах следует располагать на расстоянии не менее 2,7 м напротив друг друга.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7.4.12. Специальную зону ожидания и отдыха рекомендуется размещать на основном этаже, в одном уровне с входом в здание вокзала и выходами к платформам (перронам, причалам) при обеспечении освещенных, безопасных и коротких переходов между ними.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Залы ожидания должны иметь удобную связь с вестибюлем, рестораном (кафе-буфетом), уборными и камерами хранения, располагаясь, как правило, в одном с ними уровне.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7.4.13. Места в специальной зоне ожидания и отдыха следует оборудовать индивидуальными средствами информации и связи: наушниками, подключаемыми к системам информационного обеспечения вокзалов; дисплеями с дублированием изображения информационных табло и звуковых объявлений; техническими средствами экстренной связи с администрацией, доступными тактильному восприятию; прочими специальными системами сигнально-информационного обеспечения (компьютеры, справки по телефону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7.4.14. На железнодорожных вокзалах,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км/ч, для перемещения инвалидов на креслах-колясках допускается использовать переходы в уровне рельсов, оборудованные сигнализацией автоматического действия и световыми указателями. На отрезке такого прохода вдоль железнодорожного пути (включая торцевой по отношению к платформе пандус) следует предусматривать защитное ограждение высотой не менее 0,9 м с расположенными на этой же высоте поручнями.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7.4.15. На кромках посадочной стороны перрона следует применять предупредительные сигнальные полосы вдоль краев платформы, а также тактильные наземные указатели для пассажиров с недостатками зрения.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перронах необходимо предусматривать дублирование визуальной информации речевой и звуковой (речевой) информации текстовой информацией.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7.4.16. Регистрация билетов и оформление багажа для МГН без сопровождения должна осуществляться при необходимости за специальной стойкой высотой от уровня пола не более 0,85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Стойки для заполнения деклараций в аэропортах международных авиалиний должны быть доступны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7.4.17. В автовокзалах для обслуживания МГН не рекомендуется использование островных перронов.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7.4.18. Перроны для пассажиров должны быть удобны по высоте для посадки/высадки инвалидов на кресле-коляске и с нарушением опорно-двигательного аппарата. Перроны, не оборудованные подобными средствами, должны быть приспособлены для использования стационарных или передвижных подъемников для посадки/высадки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7.4.19. В каждом ряду турникетов входа/выхода следует предусматривать не менее одного расширенного прохода для проезда кресла-коляски. Его следует размещать вне зоны контроля проездных билетов, оборудовать горизонтальными поручнями на расстоянии 1,2 м, выделяющими зону перед проходом, а также обозначать специальной символикой.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7.4.20. В аэровокзалах в посадочных галереях с уровня второго этажа через каждые 9 м следует предусматривать горизонтальные площадки для отдыха размером не менее 1,5 x 1,5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посадке в самолет с уровня земли для подъема или спуска (высадки) МГН следует предусматривать специальное подъемное устройство: амбулаторный автолифт (амбулифт)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7.4.21. На аэровокзалах рекомендуется предусматривать помещение для специальной службы сопровождения и помощи инвалидам и другим МГН, а также зону хранения </w:t>
      </w:r>
      <w:r>
        <w:rPr>
          <w:rFonts w:ascii="Calibri" w:hAnsi="Calibri" w:cs="Calibri"/>
        </w:rPr>
        <w:lastRenderedPageBreak/>
        <w:t>малогабаритных колясок, используемых для обслуживания инвалидов при прохождении регистрации, контроля, досмотра и в полете.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7.5. Объекты физкультурного, спортивного</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физкультурно-досугового назначения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Помещения для зрителей</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 На трибунах спортивно-зрелищных сооружений, предназначенных для проведения соревнований по паралимпийским видам спорта должны быть предусмотрены места для зрителей на креслах-колясках из расчета не менее 1,5% общего числа зрительских мест. При этом 0,5% мест могут быть организованы путем временной трансформации (временного демонтажа) части кресел для зрителей.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 Места для инвалидов на стадионах следует предусматривать как на трибунах, так и перед трибунами, в том числе на уровне зоны проведения соревнований.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7.5.3. Места для инвалидов следует располагать преимущественно вблизи эвакуационных выходов. Места для сопровождающих лиц должны располагаться в непосредственной близости от мест для инвалидов (чередоваться или располагаться сзади).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прохода между рядами, где сидят инвалиды на креслах-колясках, должна составлять в чистоте с учетом кресла-коляски - не менее 1,6 м (с местом для сидения - 3,0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7.5.4. Места, выделенные для размещения инвалидов на креслах-колясках, следует огораживать барьером. Места для сопровождающих лиц должны располагаться в непосредственной близости. Они могут чередоваться с местами для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7.5.5. На спортивных, спортивно-зрелищных и физкультурно-оздоровительных объектах необходимо обеспечить наличие зон для выгула собак-поводырей и других служебных собак. В зоне выгула собак-поводырей рекомендуется применять легко очищаемое твердое покрытие.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7.5.6. Если на трибунах спортивных и спортивно-зрелищных объектов предусматривается звуковая информация, то она должна дублироваться текстовой информацией.</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Помещения для занимающихся физической культурой и спортом</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7.5.7. Рекомендуется обеспечивать доступность для МГН во все вспомогательные помещения в учебно-тренировочных физкультурно-спортивных сооружениях: входные и рекреационные помещения (вестибюли, гардеробы, зоны отдыха, буфеты), блоки раздевальных, душевых и санузлов, тренерские и учебно-методические помещения, медико-реабилитационные помещения (медицинские комнаты, сауны, массажные и др.).</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7.5.8. Удаление обслуживающих помещений для занимающихся, включая инвалидов, от мест проведения физкультурно-спортивных занятий не должно превышать 150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7.5.9. Расстояние от любого места пребывания инвалида в зальном помещении до эвакуационного выхода в коридор, фойе, наружу или до эвакуационного люка трибун спортивно-зрелищных залов не должно превышать 40 м. Ширина проходов должна быть увеличена на ширину свободного проезда кресла-коляски (0,9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7.5.10. Доступный маршрут движения для МГН должен быть предусмотрен, по крайней мере, к 5% дорожек для боулинга, но не менее чем к одной дорожке каждого типа.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открытых спортивных площадках минимум один доступный маршрут движения должен напрямую соединять противолежащие стороны площадки.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7.5.11. При расстановке оборудования в тренажерных залах необходимо создавать проезды для людей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7.5.12. Для ориентирования лиц с полной потерей зрения и слабовидящих рекомендуется: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0,9 до 1,2 м, а в залах с бассейном для детей - на уровне 0,5 м от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основных маршрутах движения и на обходных дорожках специализированного бассейна должны предусматриваться специальные тактильные полосы для информации и ориентации. </w:t>
      </w:r>
      <w:r>
        <w:rPr>
          <w:rFonts w:ascii="Calibri" w:hAnsi="Calibri" w:cs="Calibri"/>
        </w:rPr>
        <w:lastRenderedPageBreak/>
        <w:t>Ширина полос ориентации для открытых ванн - не менее 1,2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7.5.13. В мелкой части ванны бассейна для инвалидов с поражением опорно-двигательного аппарата следует устраивать пологую лестницу с размерами, не менее: подступенков - 0,14 м и проступей - 0,3 м. Рекомендуется устраивать лестницу вне габаритов ванны.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7.5.14. Обходная дорожка по периметру ванн должна быть шириной не менее 2 м в крытых и 2,5 м у открытых ванн. На площади обходной дорожки следует предусматривать места для хранения кресел-колясок.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Край ванны бассейна по всему периметру должен выделяться полосой, имеющей контрастную окраску по отношению к цвету обходной дорожки.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7.5.15. Необходимо наличие доступных раздевальных в следующих помещениях: медпункты/помещения для оказания первой медицинской помощи, комнаты для тренеров, судей, официальных лиц. Для этих помещений допускается наличие одной доступной универсальной раздевальной, рассчитанной на лиц обоего пола и оборудованной туалетом.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7.5.16. В помещениях раздевальных при спортивных сооружениях для занимающихся инвалидов следует предусматривать:</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для хранения кресел-колясок;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кабины (площадью каждая не менее 4 м2) из расчета по одной кабине на трех одновременно занимающихся инвалидов, пользующихся креслами-колясками;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шкафы (не менее двух) высотой не более 1,7 м, в том числе для хранения костылей и протезов;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скамью длиной не менее 3 м, шириной не менее 0,7 м и высотой от пола не более 0,5 м. Вокруг скамьи должно быть обеспечено свободное пространство для подъезда кресла-коляски. При невозможности устройства островной скамьи следует предусматривать вдоль одной из стен установку скамьи размером не менее 0,6 x 2,5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прохода между скамьями в общих раздевальных должен составлять не менее 1,8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7.5.17. Площадь в общих раздевальных на одно место для занимающегося инвалида следует принимать не менее: в залах - 3,8 м2, в бассейнах с залом подготовительных занятий - 4,5 м2. Расчетная площадь на одного занимающегося инвалида в раздевальных с хранением одежды в отдельном помещении гардеробной - 2,1 м2. Площадь для индивидуальных кабин - 4 - 5 м2, общих раздевальных для инвалидов с сопровождающим - 6 - 8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Удельные показатели площади включают места для переодевания, шкафы для хранения домашней одежды в общих раздевальных.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7.5.18. Число душевых кабин для инвалидов следует принимать из расчета - одна душевая сетка на трех занимающихся инвалидов, но не менее одной.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7.5.19. В гардеробных следует применять единый шкаф для уличной и домашней одежды размером 0,4 x 0,5 м в чистоте.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шкафы для хранения одежды инвалидов, пользующихся креслом-коляской в раздевальных спортзалов, следует располагать в нижнем ярусе, высотой не более 1,3 м от пола. При открытом способе хранения домашней одежды крючки в раздевальных должны устанавливаться на той же высоте. Скамьи в гардеробных (на одного инвалида) должны иметь в плане размеры 0,6 x 0,8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7.5.20. В комнате отдыха при раздевальных следует предусматривать дополнительную площадь из расчета не менее 0,4 м2 на каждого из одновременно занимающихся инвалидов на креслах-колясках, а комната отдыха при сауне должна быть площадью не менее 20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7.5.21. Следует заглублять в нишу в стене поручень, которым оборудуется зал для занятий слепых. Стены залов должны быть абсолютно гладкими, без уступов. Все крепежные детали оборудования, регуляторов, электрических выключателей должны устанавливаться заподлицо с поверхностью стен или заглубляться.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7.5.22. Для спортивных игр инвалидов на креслах-колясках следует использовать залы с шероховатым, пружинящим напольным покрытием из синтетических материалов или спортивный паркет.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7.5.23. Для спортивных игр инвалидов с дефектами зрения поверхность пола должна быть идеально ровной и гладкой, границы площадок для игр обозначаются рельефными наклеивающимися полосами.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7.6. Здания и помещения зрелищного,</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культурно-просветительного назначения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религиозных организаций</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 Для инвалидов рекомендуется делать доступными помещения зрительского комплекса: вестибюль, кассовый вестибюль, гардероб, санузлы, фойе, буфеты, коридоры и кулуары перед зрительным залом. В соответствии с заданием на проектирование для инвалидов должны быть доступны следующие помещения исполнительского комплекса: эстрада, сцена, артистические уборные, артистические вестибюль, буфет, санузлы, кулуары и коридоры.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 Пандусы в залах, ведущие к рядам в ярусных амфитеатрах, должны иметь перила по стенам и подсвет ступеней. При уклоне пандуса более 1:12 места для инвалидов на креслах-колясках следует предусматривать на ровном полу в первых рядах.</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Зрелищные учреждения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7.6.3. Места для инвалидов в зальных помещениях следует располагать в доступной для них зоне зала, обеспечивающей: полноценное восприятие демонстрационных, зрелищных, информационных, музыкальных программ и материалов; оптимальные условия для работы (в читальных залах библиотек); отдыха (в зале ожидания).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зальных помещениях не менее двух рассредоточенных выходов должны быть приспособлены для прохода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зрительных залах, оборудованных стульями или скамьями, должны иметься сиденья с подлокотниками, из расчета - не менее один стул с подлокотником на пять стульев без подлокотников. Скамьи должны обеспечивать надежную опору для спины и пространство под сиденьем глубиной не менее 1/3 глубины скамьи.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7.6.4. В многоярусных залах необходимо предусматривать места для инвалидов на кресле-коляске на уровне первого яруса, а также на одном из промежуточных. Необходимо предусматривать места для кресел-колясок в клубных боксах, ложах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крайней мере, 5% общего числа откидных мест в проходах, но не менее одного должны быть специальными местами, расположенными как можно ближе к выходам из зала.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7.6.5. Места для инвалидов в зрительных залах предпочтительнее располагать в отдельных рядах, имеющих самостоятельный путь эвакуации, не пересекающийся с путями эвакуации остальной части зрителей.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зрительных залах с числом мест 800 и более места для инвалидов на креслах-колясках следует рассредоточивать в различных зонах, размещая их в непосредственной близости от эвакуационных выходов, но в одном месте не более трех.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7.6.6. При расположении мест для зрителей на креслах-колясках перед сценой, эстрадой в первом ряду или в конце зала вблизи выхода следует предусматривать свободные площадки шириной в свету не менее 1,8 м и рядом место для сопровождающего.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 сценой, эстрадой в первом ряду, а также в центре зала или по его бокам следует предусматривать индивидуально освещаемые площадки для размещения при необходимости переводчиков жестового языка.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7.6.7. Для возможности участия в программах инвалидов на креслах-колясках рекомендуется эстрада с увеличением глубины плоского планшета до 9 - 12 м и авансцены - до 2,5 м. Рекомендуемая высота эстрады - 0,8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подъема на сцену, кроме лестниц, должен быть предусмотрен стационарный (мобильный) пандус или подъемное устройство. Ширина пандуса между поручнями должна быть не менее 0,9 м с уклоном 8% и бортиками по бокам. Лестницы и пандусы, ведущие на сцену, должны иметь с одной стороны ограждения с двойными поручнями на высоте 0,7/0,9 м.</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Учреждения культуры</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7.6.8. С учетом потребностей посетителей-инвалидов для музеев с выставочной площадью </w:t>
      </w:r>
      <w:r>
        <w:rPr>
          <w:rFonts w:ascii="Calibri" w:hAnsi="Calibri" w:cs="Calibri"/>
        </w:rPr>
        <w:lastRenderedPageBreak/>
        <w:t>до 2000 м2 рекомендуется расположение экспозиции в одном уровне.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7.6.9. Зону постоянной экспозиции рекомендуется создавать с анфиладным или кольцевым маршрутом движения. Тупиковая планировка нежелательна.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Пандусы следует использовать для организации последовательного движения и одновременного осмотра экспозиции.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7.6.10. При невозможности использовать визуальную информацию для инвалидов по зрению в помещениях с особыми требованиями к художественному решению интерьеров в экспозиционных залах художественных музеев, выставок и т.п. допускается применять другие компенсирующие мероприятия.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7.6.11. Навесная витрина должна находиться на высоте, доступной для визуального восприятия с кресла-коляски (низ на отметке не более 0,85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Горизонтальная витрина должна иметь под собой пространство для подъезда инвалида в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витрин на высоте 0,8 м необходимо устройство горизонтального поручня со скругленными углами. Для инвалидов с дефектами зрения вокруг экспозиционного стола следует предусмотреть предупредительную фактурную цветную полосу шириной от 0,6 до 0,8 м в уровне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7.6.12. Проходы в читальном зале библиотеки должны иметь ширину не менее 1,2 м. Размер рабочего места инвалида (без учета поверхности стола) должен быть 1,5 x 0,9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Рекомендуется принимать оптимальные габариты площади поверхности стола читателя с недостатками зрения для работы с секретарем-чтецом - 1,5 x 0,7 м в кабинах, полукабинах или кабинетах.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7.6.13. В зоне обслуживания лиц с недостатками зрения читательские места и стеллажи со специальной литературой рекомендуется оборудовать добавочным освещением. Необходимо предусматривать высокий уровень естественной освещенности этой читательской зоны (КЕО - 2,5%), а уровень искусственного освещения читательского стола - не менее 1000 лк.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7.6.14. Помещения для занятий кружков в клубном здании с участием инвалидов рекомендуется проектировать не более чем на 10 - 12 человек, в том числе инвалидов на креслах-колясках 2 - 3 человека.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7.6.15. Число мест для инвалидов на креслах-колясках в клубном зрительном зале рекомендуется принимать по вместимости зала, не менее:</w:t>
      </w:r>
    </w:p>
    <w:p w:rsidR="00EB6A55" w:rsidRDefault="00EB6A55">
      <w:pPr>
        <w:pStyle w:val="ConsPlusNonformat"/>
      </w:pPr>
      <w:r>
        <w:t xml:space="preserve">    50 - 75 мест в зале ........................................ 3</w:t>
      </w:r>
    </w:p>
    <w:p w:rsidR="00EB6A55" w:rsidRDefault="00EB6A55">
      <w:pPr>
        <w:pStyle w:val="ConsPlusNonformat"/>
      </w:pPr>
      <w:r>
        <w:t xml:space="preserve">    76 - 100  то же ............................................ 4</w:t>
      </w:r>
    </w:p>
    <w:p w:rsidR="00EB6A55" w:rsidRDefault="00EB6A55">
      <w:pPr>
        <w:pStyle w:val="ConsPlusNonformat"/>
      </w:pPr>
      <w:r>
        <w:t xml:space="preserve">    101 - 150   " .............................................. 5</w:t>
      </w:r>
    </w:p>
    <w:p w:rsidR="00EB6A55" w:rsidRDefault="00EB6A55">
      <w:pPr>
        <w:pStyle w:val="ConsPlusNonformat"/>
      </w:pPr>
      <w:r>
        <w:t xml:space="preserve">    151 - 200   " .............................................. 6</w:t>
      </w:r>
    </w:p>
    <w:p w:rsidR="00EB6A55" w:rsidRDefault="00EB6A55">
      <w:pPr>
        <w:pStyle w:val="ConsPlusNonformat"/>
      </w:pPr>
      <w:r>
        <w:t xml:space="preserve">    201 - 300   " .............................................. 7</w:t>
      </w:r>
    </w:p>
    <w:p w:rsidR="00EB6A55" w:rsidRDefault="00EB6A55">
      <w:pPr>
        <w:pStyle w:val="ConsPlusNonformat"/>
      </w:pPr>
      <w:r>
        <w:t xml:space="preserve">    301 - 400   " .............................................. 8</w:t>
      </w:r>
    </w:p>
    <w:p w:rsidR="00EB6A55" w:rsidRDefault="00EB6A55">
      <w:pPr>
        <w:pStyle w:val="ConsPlusNonformat"/>
      </w:pPr>
      <w:r>
        <w:t xml:space="preserve">    Свыше 400   " .............................................. 9</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7.6.16. В зданиях цирков допускается использовать служебные входы для доступа зрителей к местам, расположенным на плоском полу перед первым рядом. Места для инвалидов в залах цирков следует размещать вблизи эвакуационных люков в тех рядах, плоскость которых находится на одном уровне с фойе. В этом случае площадь прохода должна быть увеличена не менее чем до 2,2 м (в местах, где предполагается размещение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Культовые, ритуальные и мемориальные здания</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сооружения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7.6.17. Архитектурная среда зданий, сооружений и комплексов культового назначения, а также ритуальные объекты для всех видов торжественных церемоний, похоронные и мемориальные объекты должны удовлетворять требованиям доступности для МГН, а также конфессиональным требованиям в части размещения и оборудования мест обрядовых мероприятий.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7.6.18. Рекомендуется применять в зданиях и на территории информационные средства, доступные для инвалидов, не создающие помехи световой и звуковой архитектуре ритуального объекта или мемориала.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7.6.19. Пути движения, предназначенные для инвалидов и других МГН, не должны попадать </w:t>
      </w:r>
      <w:r>
        <w:rPr>
          <w:rFonts w:ascii="Calibri" w:hAnsi="Calibri" w:cs="Calibri"/>
        </w:rPr>
        <w:lastRenderedPageBreak/>
        <w:t>в зоны движения религиозных и других церемониальных процессий и путей подъезда кортежей.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7.6.20. В зоне размещения сидя не менее 3% мест рекомендуется отводить для инвалидов на креслах-колясках (но не менее одного).</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устройстве в культовых и обрядовых зданиях и сооружениях, а также на их участках места омовения следует не менее одного места оборудовать для инвалидов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7.6.21. Расстояние от кромки пути движения до мест возложения цветов, венков, гирлянд, камней, амулетов, установки икон, свечей, лампад, раздачи святой воды и т.п. не должно превышать 0,6 м. Высота - от 0,6 до 1,2 м от уровня пола.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Ширина (фронт) подхода к месту поклонения - не менее 0,9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7.6.22. На территориях кладбищ и некрополей должен быть обеспечен доступ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участкам погребений, к колумбариям всех видов;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зданиям администрации, торговли, питания и бытовым зданиям для посетителей, к общественным туалетам;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водоразборным устройствам и чашам для полива;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выставочным участкам;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мемориальным объектам общественного назначения.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7.6.23. У входа на территорию кладбищ и некрополей следует предусматривать с правой стороны по ходу движения мнемосхемы планировки кладбищ и некрополей.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путях движения по кладбищам следует не реже чем через 300 м предусматривать зоны отдыха с местами для размещения сидя.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2"/>
        <w:rPr>
          <w:rFonts w:ascii="Calibri" w:hAnsi="Calibri" w:cs="Calibri"/>
        </w:rPr>
      </w:pPr>
      <w:r>
        <w:rPr>
          <w:rFonts w:ascii="Calibri" w:hAnsi="Calibri" w:cs="Calibri"/>
        </w:rPr>
        <w:t>7.7. Здания объектов по обслуживанию общества</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и государства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7.7.1. Общими требованиями к доступности основных групп помещений, административных зданий, где происходит прием МГН, являются: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предпочтительное размещение их в уровне входа;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обязательное наличие справочно-информационной службы; возможное совмещение справочно-информационной службы и кабинета дежурного приема;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помещений коллективного использования (конференц-залов, залов совещаний и т.п.) желательно их размещение не выше второго уровня (этажа).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7.7.2. В вестибюлях зданий административного назначения рекомендуется предусматривать зону обслуживающих автоматов (телефонов, таксофонов, продаж и т.п.) и резервную площадь для киосков.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7.7.3. Залы судебных заведений должны быть доступны для всех категорий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скамье присяжных должно быть предусмотрено место для инвалида на кресле-коляске. Места истца и адвоката, включая кафедру, должны быть доступными.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зале должно быть предусмотрено место для переводчика жестового языка, удобное для ведения перекрестного опроса всеми участниками судебного процесса.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предусмотрены камеры содержания под стражей при зале заседаний суда, то одна из камер должна быть доступна для инвалида на кресле-коляске. Такая камера может быть предназначена для нескольких залов суда.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Сплошные перегородки, охранное остекление или разделительные столы, которые отделяют посетителей от задержанных в помещениях свиданий пенитенциарных учреждений, должны иметь не менее одного места, доступного для инвалидов, с каждой стороны.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7.7.4. Минимальный размер площади помещения (кабинета или кабины) для индивидуального приема (на одно рабочее место) рекомендуется принимать 12 м2.</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помещениях приема на несколько мест обслуживания рекомендуется делать доступными для МГН одно из мест обслуживания или несколько мест обслуживания, скомпонованных в общую зону.</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7.7.5. В отделе пенсионных выплат следует предусматривать переговорные устройства с </w:t>
      </w:r>
      <w:r>
        <w:rPr>
          <w:rFonts w:ascii="Calibri" w:hAnsi="Calibri" w:cs="Calibri"/>
        </w:rPr>
        <w:lastRenderedPageBreak/>
        <w:t>возможностью двустороннего включения.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7.7.6. В зданиях учреждений и предприятий, содержащих в своем составе операционно-кассовые залы, предназначенные для обслуживания посетителей, необходимо соблюдать требования беспрепятственной доступности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 всех зданиях кредитно-финансовых учреждений и предприятий почтовой связи рекомендуется предусматривать установку системы организованного приема посетителей, состоящую из аппарата, выдающего талоны с указанием очередности приема; световых табло над дверями соответствующих кабинетов и окошек, указывающих номер очередного посетителя.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7.7.7. К помещениям банковских учреждений, в которые допуск клиентов не ограничен по технологическим требованиям, рекомендуется относить:</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кассовый блок (кассовый зал и депозитарий);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операционный блок (входная группа помещений, операционный зал и кассы);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вспомогательные и обслуживающие помещения (комнаты переговоров с клиентами и оформления кредита, вестибюль, аванвестибюль, бюро пропусков).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7.7.8. Кроме операционно-кассового зала в зону посетительской доступности предприятий рекомендуется включать:</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вход с тамбуром (универсального типа - для всех групп посетителей);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добарьерную (посетительскую) часть отдела доставки, совмещенную при необходимости с зоной индивидуального хранения подписных изданий и корреспонденции;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переговорный пункт (с зонами кабин междугородних телефонов, в том числе автоматов, и ожидания);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обмена валюты и киоски продаж (при наличии).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7.7.9. При нескольких островных (автономных) рабочих местах операционистов, одно приспосабливается для обслуживания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7.7.10. При расчете площади офисных помещений следует учитывать площадь на одного инвалида, использующего кресло-коляску, равную 7,65 м2.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outlineLvl w:val="1"/>
        <w:rPr>
          <w:rFonts w:ascii="Calibri" w:hAnsi="Calibri" w:cs="Calibri"/>
        </w:rPr>
      </w:pPr>
      <w:r>
        <w:rPr>
          <w:rFonts w:ascii="Calibri" w:hAnsi="Calibri" w:cs="Calibri"/>
        </w:rPr>
        <w:t>8. Специальные требования к местам приложения труда</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При проектировании помещений с местами труда инвалидов кроме данного документа следует учитывать требования </w:t>
      </w:r>
      <w:hyperlink r:id="rId38" w:history="1">
        <w:r>
          <w:rPr>
            <w:rFonts w:ascii="Calibri" w:hAnsi="Calibri" w:cs="Calibri"/>
            <w:color w:val="0000FF"/>
          </w:rPr>
          <w:t>СП 44.13330</w:t>
        </w:r>
      </w:hyperlink>
      <w:r>
        <w:rPr>
          <w:rFonts w:ascii="Calibri" w:hAnsi="Calibri" w:cs="Calibri"/>
        </w:rPr>
        <w:t xml:space="preserve"> и </w:t>
      </w:r>
      <w:hyperlink r:id="rId39" w:history="1">
        <w:r>
          <w:rPr>
            <w:rFonts w:ascii="Calibri" w:hAnsi="Calibri" w:cs="Calibri"/>
            <w:color w:val="0000FF"/>
          </w:rPr>
          <w:t>СП 56.13330</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При проектировании зданий учреждений, организаций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8.3. Рабочие места инвалидов должны быть безопасны для здоровья, рационально организованы. В задании на проектирование следует устанавливать их специализацию и, при необходимости, включать комплект мебели, оборудования и вспомогательных устройств, специально приспособленных для конкретного вида инвалидности, в том числе с учетом ГОСТ Р 51645.</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8.4. В рабочей зоне помещений должно быть обеспечено выполнение комплекса санитарно-гигиенических требований к микроклимату в соответствии с ГОСТ 12.01.005, а также соблюдены дополнительные требования, устанавливаемые в зависимости от вида заболевания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8.5. Расстояние до уборных, курительных, помещений для обогрева или охлаждения, полудушей,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 м:</w:t>
      </w:r>
    </w:p>
    <w:p w:rsidR="00EB6A55" w:rsidRDefault="00EB6A55">
      <w:pPr>
        <w:pStyle w:val="ConsPlusNonformat"/>
      </w:pPr>
      <w:r>
        <w:t xml:space="preserve">    в пределах зданий ........................................ 60;</w:t>
      </w:r>
    </w:p>
    <w:p w:rsidR="00EB6A55" w:rsidRDefault="00EB6A55">
      <w:pPr>
        <w:pStyle w:val="ConsPlusNonformat"/>
      </w:pPr>
      <w:r>
        <w:t xml:space="preserve">    в пределах территории учреждения, предприятия ........... 150.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Нежелательно смежное размещение мужских и женских уборных для инвалидов по зрению.</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8.6. Индивидуальные шкафы в бытовых помещениях предприятий и учреждений должны быть совмещенными (для хранения уличной, домашней и рабочей одежды).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8.7. Санитарно-бытовое обслуживание работающих инвалидов должно обеспечиваться в соответствии с требованиями </w:t>
      </w:r>
      <w:hyperlink r:id="rId40" w:history="1">
        <w:r>
          <w:rPr>
            <w:rFonts w:ascii="Calibri" w:hAnsi="Calibri" w:cs="Calibri"/>
            <w:color w:val="0000FF"/>
          </w:rPr>
          <w:t>СП 44.13330</w:t>
        </w:r>
      </w:hyperlink>
      <w:r>
        <w:rPr>
          <w:rFonts w:ascii="Calibri" w:hAnsi="Calibri" w:cs="Calibri"/>
        </w:rPr>
        <w:t xml:space="preserve"> и данного документа.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санитарно-бытовых помещениях количество кабин и устройств, необходимых для работающих на предприятии или в учреждении инвалидов с нарушением опорно-двигательного аппарата и недостатками зрения, следует определять из расчета: не менее одной универсальной душевой кабины на троих инвалидов, не менее одной раковины умывальника на семь инвалидов независимо от санитарной характеристики производственных процессов.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8.8. При затруднении доступа инвалидов на кресле-коляске к местам общественного питания на предприятиях и в учреждениях следует дополнительно предусматривать комнату приема пищи площадью из расчета 1,65 м2 на каждого инвалида, но не менее 12 м2.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А</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НОРМАТИВНЫЕ ССЫЛКИ</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5" w:name="Par750"/>
      <w:bookmarkEnd w:id="5"/>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своде правил использованы ссылки на следующие документы:</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1" w:history="1">
        <w:r w:rsidR="00EB6A55">
          <w:rPr>
            <w:rFonts w:ascii="Calibri" w:hAnsi="Calibri" w:cs="Calibri"/>
            <w:color w:val="0000FF"/>
          </w:rPr>
          <w:t>ГОСТ Р 12.4.026-2001</w:t>
        </w:r>
      </w:hyperlink>
      <w:r w:rsidR="00EB6A55">
        <w:rPr>
          <w:rFonts w:ascii="Calibri" w:hAnsi="Calibri" w:cs="Calibri"/>
        </w:rPr>
        <w:t>.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50602-93. Кресла-коляски. Максимальные габаритные размеры</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2" w:history="1">
        <w:r w:rsidR="00EB6A55">
          <w:rPr>
            <w:rFonts w:ascii="Calibri" w:hAnsi="Calibri" w:cs="Calibri"/>
            <w:color w:val="0000FF"/>
          </w:rPr>
          <w:t>ГОСТ Р 51256-99</w:t>
        </w:r>
      </w:hyperlink>
      <w:r w:rsidR="00EB6A55">
        <w:rPr>
          <w:rFonts w:ascii="Calibri" w:hAnsi="Calibri" w:cs="Calibri"/>
        </w:rPr>
        <w:t>. Технические средства организации дорожного движения. Разметка дорожная. Типы и основные параметры. Общие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51261-99. Устройства опорные стационарные реабилитационные. Типы и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51264-99. Средства связи, информатики и сигнализации реабилитационные электронные. Общие технические условия</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3" w:history="1">
        <w:r w:rsidR="00EB6A55">
          <w:rPr>
            <w:rFonts w:ascii="Calibri" w:hAnsi="Calibri" w:cs="Calibri"/>
            <w:color w:val="0000FF"/>
          </w:rPr>
          <w:t>ГОСТ Р 51630-2000</w:t>
        </w:r>
      </w:hyperlink>
      <w:r w:rsidR="00EB6A55">
        <w:rPr>
          <w:rFonts w:ascii="Calibri" w:hAnsi="Calibri" w:cs="Calibri"/>
        </w:rPr>
        <w:t>. Платформы подъемные с вертикальным и наклонным перемещением инвалидов. Технические требования доступности</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4" w:history="1">
        <w:r w:rsidR="00EB6A55">
          <w:rPr>
            <w:rFonts w:ascii="Calibri" w:hAnsi="Calibri" w:cs="Calibri"/>
            <w:color w:val="0000FF"/>
          </w:rPr>
          <w:t>ГОСТ Р 51631-2008</w:t>
        </w:r>
      </w:hyperlink>
      <w:r w:rsidR="00EB6A55">
        <w:rPr>
          <w:rFonts w:ascii="Calibri" w:hAnsi="Calibri" w:cs="Calibri"/>
        </w:rPr>
        <w:t>. Лифты пассажирские. Технические требования доступности, включая доступность для инвалидов и других маломобильных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51633-2000. Устройства и приспособления реабилитационные, используемые инвалидами в жилых помещениях. Общие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51645-2000. Рабочее место для инвалида по зрению типовое специальное компьютерное. Технические требования к оборудованию и к производственной среде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51648-2000. Сигналы звуковые и осязательные, дублирующие сигналы светофора, для слепых и слепоглухих людей. Параметры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51671-2000. Средства связи и информации технические общего пользования, доступные для инвалидов. Классификация. Требования доступности и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52131-2003. Средства отображения информации знаковые для инвалидов. Технические требования</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5" w:history="1">
        <w:r w:rsidR="00EB6A55">
          <w:rPr>
            <w:rFonts w:ascii="Calibri" w:hAnsi="Calibri" w:cs="Calibri"/>
            <w:color w:val="0000FF"/>
          </w:rPr>
          <w:t>ГОСТ Р 52289-2004</w:t>
        </w:r>
      </w:hyperlink>
      <w:r w:rsidR="00EB6A55">
        <w:rPr>
          <w:rFonts w:ascii="Calibri" w:hAnsi="Calibri" w:cs="Calibri"/>
        </w:rPr>
        <w:t>.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6" w:history="1">
        <w:r w:rsidR="00EB6A55">
          <w:rPr>
            <w:rFonts w:ascii="Calibri" w:hAnsi="Calibri" w:cs="Calibri"/>
            <w:color w:val="0000FF"/>
          </w:rPr>
          <w:t>ГОСТ Р 52875-2007</w:t>
        </w:r>
      </w:hyperlink>
      <w:r w:rsidR="00EB6A55">
        <w:rPr>
          <w:rFonts w:ascii="Calibri" w:hAnsi="Calibri" w:cs="Calibri"/>
        </w:rPr>
        <w:t>. Указатели тактильные наземные для инвалидов по зрению. Технические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Р 52880-2007. Социальное обслуживание населения. Типы учреждений социального обслуживания граждан пожилого возраста и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ГОСТ Р 53453-2009. Эргономика термальной среды. Применение требования стандартов к людям с особыми требованиями</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7" w:history="1">
        <w:r w:rsidR="00EB6A55">
          <w:rPr>
            <w:rFonts w:ascii="Calibri" w:hAnsi="Calibri" w:cs="Calibri"/>
            <w:color w:val="0000FF"/>
          </w:rPr>
          <w:t>ГОСТ Р 53770-2010</w:t>
        </w:r>
      </w:hyperlink>
      <w:r w:rsidR="00EB6A55">
        <w:rPr>
          <w:rFonts w:ascii="Calibri" w:hAnsi="Calibri" w:cs="Calibri"/>
        </w:rPr>
        <w:t>. Лифты пассажирские. Основные параметры и размеры</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8" w:history="1">
        <w:r w:rsidR="00EB6A55">
          <w:rPr>
            <w:rFonts w:ascii="Calibri" w:hAnsi="Calibri" w:cs="Calibri"/>
            <w:color w:val="0000FF"/>
          </w:rPr>
          <w:t>ГОСТ 12.1.004-91*</w:t>
        </w:r>
      </w:hyperlink>
      <w:r w:rsidR="00EB6A55">
        <w:rPr>
          <w:rFonts w:ascii="Calibri" w:hAnsi="Calibri" w:cs="Calibri"/>
        </w:rPr>
        <w:t>. Система стандартов безопасности труда. Пожарная безопасность. Общие требования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21786-76. Система "человек-машина". Сигнализаторы звуковые неречевых сообщений. Общие эргономические требования</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правильный номер ГОСТ Р 53998-2010, а не ГОСТ 53998-2010.</w:t>
      </w:r>
    </w:p>
    <w:p w:rsidR="00EB6A55" w:rsidRDefault="00EB6A55">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ГОСТ 53998-2010. Туристские услуги. Услуги туризма для людей с ограниченными физическими возможностями. Общие требования</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49" w:history="1">
        <w:r w:rsidR="00EB6A55">
          <w:rPr>
            <w:rFonts w:ascii="Calibri" w:hAnsi="Calibri" w:cs="Calibri"/>
            <w:color w:val="0000FF"/>
          </w:rPr>
          <w:t>СП 1.13130.2009</w:t>
        </w:r>
      </w:hyperlink>
      <w:r w:rsidR="00EB6A55">
        <w:rPr>
          <w:rFonts w:ascii="Calibri" w:hAnsi="Calibri" w:cs="Calibri"/>
        </w:rPr>
        <w:t xml:space="preserve"> "Системы противопожарной защиты. Эвакуационные пути и выходы"</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0" w:history="1">
        <w:r w:rsidR="00EB6A55">
          <w:rPr>
            <w:rFonts w:ascii="Calibri" w:hAnsi="Calibri" w:cs="Calibri"/>
            <w:color w:val="0000FF"/>
          </w:rPr>
          <w:t>СП 42.13330.2011</w:t>
        </w:r>
      </w:hyperlink>
      <w:r w:rsidR="00EB6A55">
        <w:rPr>
          <w:rFonts w:ascii="Calibri" w:hAnsi="Calibri" w:cs="Calibri"/>
        </w:rPr>
        <w:t xml:space="preserve"> "СНиП 2.07.01-89. Градостроительство. Планировка и застройка городских и сельских поселений"</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1" w:history="1">
        <w:r w:rsidR="00EB6A55">
          <w:rPr>
            <w:rFonts w:ascii="Calibri" w:hAnsi="Calibri" w:cs="Calibri"/>
            <w:color w:val="0000FF"/>
          </w:rPr>
          <w:t>СП 44.13330.2011</w:t>
        </w:r>
      </w:hyperlink>
      <w:r w:rsidR="00EB6A55">
        <w:rPr>
          <w:rFonts w:ascii="Calibri" w:hAnsi="Calibri" w:cs="Calibri"/>
        </w:rPr>
        <w:t xml:space="preserve"> "СНиП 2.09.04-87*. Административные и бытовые здания"</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2" w:history="1">
        <w:r w:rsidR="00EB6A55">
          <w:rPr>
            <w:rFonts w:ascii="Calibri" w:hAnsi="Calibri" w:cs="Calibri"/>
            <w:color w:val="0000FF"/>
          </w:rPr>
          <w:t>СП 52.13330.2011</w:t>
        </w:r>
      </w:hyperlink>
      <w:r w:rsidR="00EB6A55">
        <w:rPr>
          <w:rFonts w:ascii="Calibri" w:hAnsi="Calibri" w:cs="Calibri"/>
        </w:rPr>
        <w:t xml:space="preserve"> "СНиП 23-05-95. Естественное и искусственное освещение"</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3" w:history="1">
        <w:r w:rsidR="00EB6A55">
          <w:rPr>
            <w:rFonts w:ascii="Calibri" w:hAnsi="Calibri" w:cs="Calibri"/>
            <w:color w:val="0000FF"/>
          </w:rPr>
          <w:t>СП 54.13330.2011</w:t>
        </w:r>
      </w:hyperlink>
      <w:r w:rsidR="00EB6A55">
        <w:rPr>
          <w:rFonts w:ascii="Calibri" w:hAnsi="Calibri" w:cs="Calibri"/>
        </w:rPr>
        <w:t xml:space="preserve"> "СНиП 31-01-2003. Здания жилые многоквартирные"</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4" w:history="1">
        <w:r w:rsidR="00EB6A55">
          <w:rPr>
            <w:rFonts w:ascii="Calibri" w:hAnsi="Calibri" w:cs="Calibri"/>
            <w:color w:val="0000FF"/>
          </w:rPr>
          <w:t>СП 56.13330.2011</w:t>
        </w:r>
      </w:hyperlink>
      <w:r w:rsidR="00EB6A55">
        <w:rPr>
          <w:rFonts w:ascii="Calibri" w:hAnsi="Calibri" w:cs="Calibri"/>
        </w:rPr>
        <w:t xml:space="preserve"> "СНиП 31-03-2001. Производственные 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 59.13330.2012 "СНиП 35-01-2001. Доступность зданий и сооружений для маломобильных групп населения"</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5" w:history="1">
        <w:r w:rsidR="00EB6A55">
          <w:rPr>
            <w:rFonts w:ascii="Calibri" w:hAnsi="Calibri" w:cs="Calibri"/>
            <w:color w:val="0000FF"/>
          </w:rPr>
          <w:t>СП 113.13330.2012</w:t>
        </w:r>
      </w:hyperlink>
      <w:r w:rsidR="00EB6A55">
        <w:rPr>
          <w:rFonts w:ascii="Calibri" w:hAnsi="Calibri" w:cs="Calibri"/>
        </w:rPr>
        <w:t xml:space="preserve"> "СНиП 21.02-99*. Стоянки автомобилей"</w:t>
      </w:r>
    </w:p>
    <w:p w:rsidR="00EB6A55" w:rsidRDefault="005F7648">
      <w:pPr>
        <w:widowControl w:val="0"/>
        <w:autoSpaceDE w:val="0"/>
        <w:autoSpaceDN w:val="0"/>
        <w:adjustRightInd w:val="0"/>
        <w:spacing w:after="0" w:line="240" w:lineRule="auto"/>
        <w:ind w:firstLine="540"/>
        <w:jc w:val="both"/>
        <w:rPr>
          <w:rFonts w:ascii="Calibri" w:hAnsi="Calibri" w:cs="Calibri"/>
        </w:rPr>
      </w:pPr>
      <w:hyperlink r:id="rId56" w:history="1">
        <w:r w:rsidR="00EB6A55">
          <w:rPr>
            <w:rFonts w:ascii="Calibri" w:hAnsi="Calibri" w:cs="Calibri"/>
            <w:color w:val="0000FF"/>
          </w:rPr>
          <w:t>СП 118.13330.2012</w:t>
        </w:r>
      </w:hyperlink>
      <w:r w:rsidR="00EB6A55">
        <w:rPr>
          <w:rFonts w:ascii="Calibri" w:hAnsi="Calibri" w:cs="Calibri"/>
        </w:rPr>
        <w:t xml:space="preserve"> "СНиП 31-06-2009. Общественные здания и сооружения".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Б</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(справочное)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ТЕРМИНЫ И ОПРЕДЕЛЕНИЯ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6" w:name="Par794"/>
      <w:bookmarkEnd w:id="6"/>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настоящем документе применены следующие термины с соответствующими определениями: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 Адаптация: 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 Аппарель (здесь): накладная конструкция на лестничный марш или через препятствие для проезда инвалида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 Благоустройство участка (территории) (здесь): комплекс мероприятий, обеспечивающих доступность маломобильных посетителей и включающий: создание искусственного ландшафта (озеленение), мощение дорожек для пешеходов и проезжей части, устройство наружного освещения, создание зон отдыха, спорта и развлечений на участке, а также информационное обеспечение посетителей.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 Бордюр: ограждение путей движения и пространств однородными элементами малой высоты, совмещающее функции по критериям безопасности и информативности.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 Визуальные средства информации (здесь): носители информации, передаваемой людям с нарушением функций органов слуха в виде зрительно различимых текстов, знаков, символов, световых сигналов.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Б.6. Вход адаптированный (здесь): вход, приспособленный для прохода маломобильных посетителей, в том числе на креслах-колясках.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Б.7. Габариты (здесь): внутренние ("в свету") и наружные ("в чистоте") размеры элементов </w:t>
      </w:r>
      <w:r>
        <w:rPr>
          <w:rFonts w:ascii="Calibri" w:hAnsi="Calibri" w:cs="Calibri"/>
        </w:rPr>
        <w:lastRenderedPageBreak/>
        <w:t>архитектурной среды (предметов и пространств) по их крайним выступающим частям.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Б.8. Доступная кабина уборной (здесь): индивидуальная кабина для инвалида на кресле-коляске или слепого, оборудованная только унитазом и размещаемая в блоке других кабинок.</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Б.9. Доступные для МГН здания и сооружения: здания и сооружения, в которых реализован комплекс архитектурно-планировочных, инженерно-технических,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МГН этих зданий и сооружений.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Б.10. Доступный маршрут движения: помещения, места обслуживания, позволяющие беспрепятственно достичь места и воспользоваться услугой.</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Б.11. Досягаемость: свойство мест обслуживания, имеющих параметры, обеспечивающие возможность воспользоваться, дотянуться до предмета, объекта пользования.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Б.12. Зона безопасности: часть здания, сооружения - изолированное помещение для защиты людей с ограниченными возможностями передвижения, не успевших эвакуироваться за необходимое время, от опасных факторов экстремальных явлений (таких как пожар, землетрясение и т.д.) в течение времени до завершения спасательных работ.</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Б.13. Зона предоставления услуг (обслуживания): совокупность мест обслуживания в помещении или на участке.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Б.14. Инвалид по зрению: гражданин, у которого полностью отсутствует зрение или острота остаточного зрения не превышает 10%, или поле зрения составляет не более 20%.</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Б.15. Инвалид: человек, имеющий нарушение здоровья со стойким расстройством функций организма, в том числе с поражением опорно-двигательного аппарата, недостатками зрения и дефектами слуха, приводящее к ограничению жизнедеятельности и вызывающее необходимость его социальной защиты.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Б.16. Карман (здесь): ниша, пространство, примыкающее к границе помещения или коммуникационного пути вне их пределов.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Б.17. Лифтовой холл: специальное помещение, располагаемое у входа в лифт, ограниченное, как правило, дверями.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Б.18. Маломобильные группы населения (МГН):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Б.19. Места обслуживания (здесь): части зданий, сооружений, помещений, зон, организованные и оборудованные для оказания услуг посетителю. Включают в себя рабочее место, место обслуживаемого, возможно - место ожидания.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Б.20. Ограждение: строительная конструкция, устанавливаемая на перепаде отметок пешеходных поверхностей, пола более 0,45 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Б.22. Пандус бордюрный: сооружение, предназначенное для спуска с тротуара на полотно дороги.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Б.23. Пандус инвентарный: сооружение временного или эпизодического использования, например сборно-разборный, откидной, выдвижной и т.д.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Б.24. Переводчик жестового языка (сурдопереводчик): специалист, осуществляющий перевод звуковой информации на язык жестов для глухонемых.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Б.25. Пиктограмма: символическое изображение вида деятельности, указания действия или назначения помещения.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Б.26. Платформа подъемная: грузоподъемная машина периодического действия для подъема и спуска пользователей, размещающихся на грузонесущем устройстве, которое перемещается по вертикальной или наклонной траектории.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Б.27. Подъем: разность уровней (вертикальный размер) между ближайшими горизонтальными плоскостями наклонного пути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Б.28. Пожаробезопасная зона: часть здания, сооружения, пожарного отсека, выделенная </w:t>
      </w:r>
      <w:r>
        <w:rPr>
          <w:rFonts w:ascii="Calibri" w:hAnsi="Calibri" w:cs="Calibri"/>
        </w:rPr>
        <w:lastRenderedPageBreak/>
        <w:t>противопожарными преградами для защиты людей от опасных факторов пожара в течение заданного времени (от момента возникновения пожара до завершения спасательных работ), обеспеченная комплексом мероприятий для проведения эвакуации и спасания.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Б.29. Полоса движения: часть пешеходного пути, предназначенная для движения в один ряд в одном направлении.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Б.30. Помещение индивидуального обслуживания: кабина или кабинет, где осуществляется самообслуживание или обслуживание маломобильного посетителя персоналом учреждения (предприятия). Габариты кабины (кабинета) должны учитывать, как правило, возможность размещения и сопровождающего лица.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Б.31. Поперечный уклон: уклон поверхности, перпендикулярный направлению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Б.32. Поручень: компонент лестницы или пандуса, который задает направление и обеспечивает поддержку на уровне руки при движении.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Примечание. Поручень может быть верхом ограждения.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Б.33. Придомовая территория: участок около жилого многоквартирного здания, включающий пешеходные пути ко входам, подъезды к дому и площадки для жильцов данного дома - детские, спортивные, для отдыха, для контейнеров, для выгула собак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Б.34. Продольный уклон: уклон поверхности, параллельный направлению движения.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Б.35. Проход: пешеходное пространство между конструктивными и (или) функциональными элементами (оборудованием).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Б.36. Путь движения: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Б.37. Разумное приспособление: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(Конвенция ООН "О правах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Б.38. Система средств информации (информационные средства) (здесь): совокупность носителей информации, обеспечивающих для МГН своевременное ориентирование в пространстве, способствующих безопасности и удобству передвижения, а также информирующих о свойствах среды жизнедеятельности.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Б.39. Специализированное учреждение: учреждение социального и медицинского назначения для постоянного ухода и обслуживания МГН, в том числе - дом-интернат, хоспис, дом сестринского ухода, реабилитационный центр, жилой дом для пожилых и т.д.</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Б.40. Специализированный элемент (здесь): элемент, к которому (как к объекту нормирования) предъявляются специфические требования по адаптации с учетом конкретного или совокупных дефектов здоровья человека.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Б.41. Сцена: часть зрительного зала для проведения театральных мероприятий с колосниками и театральной механизацией планшета сцены.</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Б.42. Тактильные средства информации: носители информации, передаваемой инвалидам по зрению и воспринимаемой путем прикосновения.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Б.43. Тактильные наземные указатели: средства отображения информации, представляющие собой рельефную полосу определенного рисунка и цвета, позволяющие инвалидам по зрению ориентироваться в пространстве путем осязания стопами ног, тростью или используя остаточное зрение. Разделяются по типам на дорожные и напольные, а также на предупреждающие и направляющие.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Б.44. Текстофон: аппарат для передачи, приема и ведения диалога по телефону инвалидами с нарушениями слуха в текстовом режиме. Аппарат снабжен клавиатурой и дисплеем для отображения текстовой информации.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Б.45. Тифлотехнические средства: средства, облегчающие инвалидам по зрению работу и усвоение информации (магнитофоны, диктофоны, письменные приборы, брайлевская пишущая машинка).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Б.46. Универсальная кабина уборной (здесь): кабина уборной, предназначенная для </w:t>
      </w:r>
      <w:r>
        <w:rPr>
          <w:rFonts w:ascii="Calibri" w:hAnsi="Calibri" w:cs="Calibri"/>
        </w:rPr>
        <w:lastRenderedPageBreak/>
        <w:t>использования инвалидом на кресле-коляске или слепым с сопровождающим, оборудованная унитазом, умывальником и другими принадлежностями. Вход в кабину не должен быть из других уборных.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Б.47. Универсальный проект (дизайн):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(специализированные) устройства для конкретных групп инвалидов, где это необходимо" (Конвенция ООН "О правах инвалидов").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Б.48. Универсальный элемент (здесь): элемент, проектируемый с учетом возможного использования всеми (любыми) категориями населения.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Б.49. Участок (здесь): территория, функционально связанная со зданием.</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Б.50. Шрифт Брайля: специальный рельефный шрифт для лиц с полной потерей зрения (незрячих) и слабовидящих. Здесь: одно из основных средств адаптации среды для данной категории маломобильных лиц.</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Б.51. Элемент: составная часть чего-нибудь, здесь: архитектурный, технический или механический компонент здания, сооружения, помещения или участка, например - рабочее место, место отдыха, душ, телефонная кабина, дверь, управляющее устройство и т.п.</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Б.52. Эстрада: возвышение в торцевой части зрительного зала для проведения концертных и эстрадных представлений (без колосников).</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В</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МАТЕРИАЛЫ К РАСЧЕТУ УРОВНЯ ПОЖАРНОЙ БЕЗОПАСНОСТИ</w:t>
      </w: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МАЛОМОБИЛЬНЫХ ГРУПП НАСЕЛЕНИЯ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приложения 2 ГОСТ 12.1.004 (</w:t>
      </w:r>
      <w:hyperlink r:id="rId57" w:history="1">
        <w:r>
          <w:rPr>
            <w:rFonts w:ascii="Calibri" w:hAnsi="Calibri" w:cs="Calibri"/>
            <w:color w:val="0000FF"/>
          </w:rPr>
          <w:t>раздел 2</w:t>
        </w:r>
      </w:hyperlink>
      <w:r>
        <w:rPr>
          <w:rFonts w:ascii="Calibri" w:hAnsi="Calibri" w:cs="Calibri"/>
        </w:rPr>
        <w:t xml:space="preserve"> "Основные расчетные зависимости") - для учета специфики передвижения МГН по путям эвакуации следует применять дополнительные расчетные значения параметров движения МГН </w:t>
      </w:r>
      <w:hyperlink r:id="rId58" w:history="1">
        <w:r>
          <w:rPr>
            <w:rFonts w:ascii="Calibri" w:hAnsi="Calibri" w:cs="Calibri"/>
            <w:color w:val="0000FF"/>
          </w:rPr>
          <w:t>(ГОСТ 12.1.004)</w:t>
        </w:r>
      </w:hyperlink>
      <w:r>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В.1. По мобильным качествам людей в потоке эвакуирующихся из зданий и сооружений следует подразделять на четыре группы согласно таблице В.1: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В.1</w:t>
      </w:r>
    </w:p>
    <w:p w:rsidR="00EB6A55" w:rsidRDefault="00EB6A55">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560"/>
        <w:gridCol w:w="5280"/>
        <w:gridCol w:w="2400"/>
      </w:tblGrid>
      <w:tr w:rsidR="00EB6A55">
        <w:trPr>
          <w:trHeight w:val="720"/>
          <w:tblCellSpacing w:w="5" w:type="nil"/>
        </w:trPr>
        <w:tc>
          <w:tcPr>
            <w:tcW w:w="156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Группа   </w:t>
            </w:r>
            <w:r>
              <w:rPr>
                <w:rFonts w:ascii="Courier New" w:hAnsi="Courier New" w:cs="Courier New"/>
                <w:sz w:val="18"/>
                <w:szCs w:val="18"/>
              </w:rPr>
              <w:br/>
              <w:t>мобильности</w:t>
            </w:r>
          </w:p>
        </w:tc>
        <w:tc>
          <w:tcPr>
            <w:tcW w:w="528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Общие характеристики людей групп     </w:t>
            </w:r>
            <w:r>
              <w:rPr>
                <w:rFonts w:ascii="Courier New" w:hAnsi="Courier New" w:cs="Courier New"/>
                <w:sz w:val="18"/>
                <w:szCs w:val="18"/>
              </w:rPr>
              <w:br/>
              <w:t xml:space="preserve">               мобильности                </w:t>
            </w:r>
          </w:p>
        </w:tc>
        <w:tc>
          <w:tcPr>
            <w:tcW w:w="2400" w:type="dxa"/>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Средняя площадь  </w:t>
            </w:r>
            <w:r>
              <w:rPr>
                <w:rFonts w:ascii="Courier New" w:hAnsi="Courier New" w:cs="Courier New"/>
                <w:sz w:val="18"/>
                <w:szCs w:val="18"/>
              </w:rPr>
              <w:br/>
              <w:t xml:space="preserve">  горизонтальной  </w:t>
            </w:r>
            <w:r>
              <w:rPr>
                <w:rFonts w:ascii="Courier New" w:hAnsi="Courier New" w:cs="Courier New"/>
                <w:sz w:val="18"/>
                <w:szCs w:val="18"/>
              </w:rPr>
              <w:br/>
              <w:t xml:space="preserve">проекции людей f, </w:t>
            </w:r>
            <w:r>
              <w:rPr>
                <w:rFonts w:ascii="Courier New" w:hAnsi="Courier New" w:cs="Courier New"/>
                <w:sz w:val="18"/>
                <w:szCs w:val="18"/>
              </w:rPr>
              <w:br/>
              <w:t xml:space="preserve">        м2        </w:t>
            </w:r>
          </w:p>
        </w:tc>
      </w:tr>
      <w:tr w:rsidR="00EB6A55">
        <w:trPr>
          <w:trHeight w:val="36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М1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Люди, не имеющие ограничений по           </w:t>
            </w:r>
            <w:r>
              <w:rPr>
                <w:rFonts w:ascii="Courier New" w:hAnsi="Courier New" w:cs="Courier New"/>
                <w:sz w:val="18"/>
                <w:szCs w:val="18"/>
              </w:rPr>
              <w:br/>
              <w:t>мобильности, в том числе с дефектами слуха</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0,1        </w:t>
            </w:r>
          </w:p>
        </w:tc>
      </w:tr>
      <w:tr w:rsidR="00EB6A55">
        <w:trPr>
          <w:trHeight w:val="90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М2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Немощные люди, мобильность которых снижена</w:t>
            </w:r>
            <w:r>
              <w:rPr>
                <w:rFonts w:ascii="Courier New" w:hAnsi="Courier New" w:cs="Courier New"/>
                <w:sz w:val="18"/>
                <w:szCs w:val="18"/>
              </w:rPr>
              <w:br/>
              <w:t xml:space="preserve">из-за старения организма (инвалиды по     </w:t>
            </w:r>
            <w:r>
              <w:rPr>
                <w:rFonts w:ascii="Courier New" w:hAnsi="Courier New" w:cs="Courier New"/>
                <w:sz w:val="18"/>
                <w:szCs w:val="18"/>
              </w:rPr>
              <w:br/>
              <w:t xml:space="preserve">старости); инвалиды на протезах; инвалиды </w:t>
            </w:r>
            <w:r>
              <w:rPr>
                <w:rFonts w:ascii="Courier New" w:hAnsi="Courier New" w:cs="Courier New"/>
                <w:sz w:val="18"/>
                <w:szCs w:val="18"/>
              </w:rPr>
              <w:br/>
              <w:t xml:space="preserve">с недостатками зрения, пользующиеся белой </w:t>
            </w:r>
            <w:r>
              <w:rPr>
                <w:rFonts w:ascii="Courier New" w:hAnsi="Courier New" w:cs="Courier New"/>
                <w:sz w:val="18"/>
                <w:szCs w:val="18"/>
              </w:rPr>
              <w:br/>
              <w:t xml:space="preserve">тростью; люди с психическими отклонениями </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0,2        </w:t>
            </w:r>
          </w:p>
        </w:tc>
      </w:tr>
      <w:tr w:rsidR="00EB6A55">
        <w:trPr>
          <w:trHeight w:val="36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М3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Инвалиды, использующие при движении       </w:t>
            </w:r>
            <w:r>
              <w:rPr>
                <w:rFonts w:ascii="Courier New" w:hAnsi="Courier New" w:cs="Courier New"/>
                <w:sz w:val="18"/>
                <w:szCs w:val="18"/>
              </w:rPr>
              <w:br/>
              <w:t xml:space="preserve">дополнительные опоры (костыли, палки)     </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0,3        </w:t>
            </w:r>
          </w:p>
        </w:tc>
      </w:tr>
      <w:tr w:rsidR="00EB6A55">
        <w:trPr>
          <w:trHeight w:val="540"/>
          <w:tblCellSpacing w:w="5" w:type="nil"/>
        </w:trPr>
        <w:tc>
          <w:tcPr>
            <w:tcW w:w="156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М4     </w:t>
            </w:r>
          </w:p>
        </w:tc>
        <w:tc>
          <w:tcPr>
            <w:tcW w:w="52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Инвалиды, передвигающиеся на              </w:t>
            </w:r>
            <w:r>
              <w:rPr>
                <w:rFonts w:ascii="Courier New" w:hAnsi="Courier New" w:cs="Courier New"/>
                <w:sz w:val="18"/>
                <w:szCs w:val="18"/>
              </w:rPr>
              <w:br/>
              <w:t xml:space="preserve">креслах-колясках, приводимых в движение   </w:t>
            </w:r>
            <w:r>
              <w:rPr>
                <w:rFonts w:ascii="Courier New" w:hAnsi="Courier New" w:cs="Courier New"/>
                <w:sz w:val="18"/>
                <w:szCs w:val="18"/>
              </w:rPr>
              <w:br/>
              <w:t xml:space="preserve">вручную                                   </w:t>
            </w:r>
          </w:p>
        </w:tc>
        <w:tc>
          <w:tcPr>
            <w:tcW w:w="24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18"/>
                <w:szCs w:val="18"/>
              </w:rPr>
            </w:pPr>
            <w:r>
              <w:rPr>
                <w:rFonts w:ascii="Courier New" w:hAnsi="Courier New" w:cs="Courier New"/>
                <w:sz w:val="18"/>
                <w:szCs w:val="18"/>
              </w:rPr>
              <w:t xml:space="preserve">       0,96       </w:t>
            </w:r>
          </w:p>
        </w:tc>
      </w:tr>
    </w:tbl>
    <w:p w:rsidR="00EB6A55" w:rsidRDefault="00EB6A55">
      <w:pPr>
        <w:widowControl w:val="0"/>
        <w:autoSpaceDE w:val="0"/>
        <w:autoSpaceDN w:val="0"/>
        <w:adjustRightInd w:val="0"/>
        <w:spacing w:after="0" w:line="240" w:lineRule="auto"/>
        <w:ind w:firstLine="540"/>
        <w:jc w:val="both"/>
        <w:rPr>
          <w:rFonts w:ascii="Calibri" w:hAnsi="Calibri" w:cs="Calibri"/>
          <w:sz w:val="18"/>
          <w:szCs w:val="18"/>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В.2. Расчетные значения скорости и интенсивности движения потоков людей с различной группой мобильности следует определять по формулам: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25pt;height:36.75pt">
            <v:imagedata r:id="rId59" o:title=""/>
          </v:shape>
        </w:pict>
      </w:r>
      <w:r w:rsidR="00EB6A55">
        <w:rPr>
          <w:rFonts w:ascii="Calibri" w:hAnsi="Calibri" w:cs="Calibri"/>
        </w:rPr>
        <w:t>; (В.1)</w:t>
      </w:r>
    </w:p>
    <w:p w:rsidR="00EB6A55" w:rsidRDefault="00EB6A55">
      <w:pPr>
        <w:widowControl w:val="0"/>
        <w:autoSpaceDE w:val="0"/>
        <w:autoSpaceDN w:val="0"/>
        <w:adjustRightInd w:val="0"/>
        <w:spacing w:after="0" w:line="240" w:lineRule="auto"/>
        <w:ind w:left="540"/>
        <w:jc w:val="both"/>
        <w:rPr>
          <w:rFonts w:ascii="Calibri" w:hAnsi="Calibri" w:cs="Calibri"/>
        </w:rPr>
      </w:pPr>
      <w:bookmarkStart w:id="7" w:name="Par892"/>
      <w:bookmarkEnd w:id="7"/>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26" type="#_x0000_t75" style="width:99pt;height:18.75pt">
            <v:imagedata r:id="rId60" o:title=""/>
          </v:shape>
        </w:pict>
      </w:r>
      <w:r w:rsidR="00EB6A55">
        <w:rPr>
          <w:rFonts w:ascii="Calibri" w:hAnsi="Calibri" w:cs="Calibri"/>
        </w:rPr>
        <w:t>, (В.2)</w:t>
      </w:r>
    </w:p>
    <w:p w:rsidR="00EB6A55" w:rsidRDefault="00EB6A55">
      <w:pPr>
        <w:widowControl w:val="0"/>
        <w:autoSpaceDE w:val="0"/>
        <w:autoSpaceDN w:val="0"/>
        <w:adjustRightInd w:val="0"/>
        <w:spacing w:after="0" w:line="240" w:lineRule="auto"/>
        <w:ind w:left="540"/>
        <w:jc w:val="both"/>
        <w:rPr>
          <w:rFonts w:ascii="Calibri" w:hAnsi="Calibri" w:cs="Calibri"/>
        </w:rPr>
      </w:pPr>
      <w:bookmarkStart w:id="8" w:name="Par894"/>
      <w:bookmarkEnd w:id="8"/>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5F7648">
        <w:rPr>
          <w:rFonts w:ascii="Calibri" w:hAnsi="Calibri" w:cs="Calibri"/>
        </w:rPr>
        <w:pict>
          <v:shape id="_x0000_i1027" type="#_x0000_t75" style="width:14.25pt;height:18.75pt">
            <v:imagedata r:id="rId61" o:title=""/>
          </v:shape>
        </w:pict>
      </w:r>
      <w:r>
        <w:rPr>
          <w:rFonts w:ascii="Calibri" w:hAnsi="Calibri" w:cs="Calibri"/>
        </w:rPr>
        <w:t xml:space="preserve"> - коэффициент, отражающий степень влияния плотности людского потока на его скорость при движении по j-му виду пути;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плотность людского потока на участке эвакуационного пути, м2/м2;</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28" type="#_x0000_t75" style="width:23.25pt;height:18.75pt">
            <v:imagedata r:id="rId62" o:title=""/>
          </v:shape>
        </w:pict>
      </w:r>
      <w:r w:rsidR="00EB6A55">
        <w:rPr>
          <w:rFonts w:ascii="Calibri" w:hAnsi="Calibri" w:cs="Calibri"/>
        </w:rPr>
        <w:t xml:space="preserve"> - значение плотности людского потока на j-м виде пути, при достижении которого плотность потока начинает оказывать влияние на скорость движения людей в потоке;</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29" type="#_x0000_t75" style="width:23.25pt;height:18.75pt">
            <v:imagedata r:id="rId63" o:title=""/>
          </v:shape>
        </w:pict>
      </w:r>
      <w:r w:rsidR="00EB6A55">
        <w:rPr>
          <w:rFonts w:ascii="Calibri" w:hAnsi="Calibri" w:cs="Calibri"/>
        </w:rPr>
        <w:t xml:space="preserve"> - скорость и интенсивность движения людей в потоке по j-му виду пути при плотности потока </w:t>
      </w:r>
      <w:r>
        <w:rPr>
          <w:rFonts w:ascii="Calibri" w:hAnsi="Calibri" w:cs="Calibri"/>
        </w:rPr>
        <w:pict>
          <v:shape id="_x0000_i1030" type="#_x0000_t75" style="width:15pt;height:18pt">
            <v:imagedata r:id="rId64" o:title=""/>
          </v:shape>
        </w:pict>
      </w:r>
      <w:r w:rsidR="00EB6A55">
        <w:rPr>
          <w:rFonts w:ascii="Calibri" w:hAnsi="Calibri" w:cs="Calibri"/>
        </w:rPr>
        <w:t>;</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31" type="#_x0000_t75" style="width:23.25pt;height:18.75pt">
            <v:imagedata r:id="rId65" o:title=""/>
          </v:shape>
        </w:pict>
      </w:r>
      <w:r w:rsidR="00EB6A55">
        <w:rPr>
          <w:rFonts w:ascii="Calibri" w:hAnsi="Calibri" w:cs="Calibri"/>
        </w:rPr>
        <w:t xml:space="preserve"> - скорость движения людей в потоке по j-му виду пути при плотности потока </w:t>
      </w:r>
      <w:r>
        <w:rPr>
          <w:rFonts w:ascii="Calibri" w:hAnsi="Calibri" w:cs="Calibri"/>
        </w:rPr>
        <w:pict>
          <v:shape id="_x0000_i1032" type="#_x0000_t75" style="width:15pt;height:18pt">
            <v:imagedata r:id="rId66" o:title=""/>
          </v:shape>
        </w:pict>
      </w:r>
      <w:r w:rsidR="00EB6A55">
        <w:rPr>
          <w:rFonts w:ascii="Calibri" w:hAnsi="Calibri" w:cs="Calibri"/>
        </w:rPr>
        <w:t>;</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33" type="#_x0000_t75" style="width:20.25pt;height:18.75pt">
            <v:imagedata r:id="rId67" o:title=""/>
          </v:shape>
        </w:pict>
      </w:r>
      <w:r w:rsidR="00EB6A55">
        <w:rPr>
          <w:rFonts w:ascii="Calibri" w:hAnsi="Calibri" w:cs="Calibri"/>
        </w:rPr>
        <w:t xml:space="preserve"> - среднее значение скорости свободного движения людей по j-му виду пути при значениях плотности потока </w:t>
      </w:r>
      <w:r>
        <w:rPr>
          <w:rFonts w:ascii="Calibri" w:hAnsi="Calibri" w:cs="Calibri"/>
        </w:rPr>
        <w:pict>
          <v:shape id="_x0000_i1034" type="#_x0000_t75" style="width:45pt;height:18.75pt">
            <v:imagedata r:id="rId68" o:title=""/>
          </v:shape>
        </w:pict>
      </w:r>
      <w:r w:rsidR="00EB6A55">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w:t>
      </w:r>
      <w:r w:rsidR="005F7648">
        <w:rPr>
          <w:rFonts w:ascii="Calibri" w:hAnsi="Calibri" w:cs="Calibri"/>
        </w:rPr>
        <w:pict>
          <v:shape id="_x0000_i1035" type="#_x0000_t75" style="width:23.25pt;height:18.75pt">
            <v:imagedata r:id="rId62" o:title=""/>
          </v:shape>
        </w:pict>
      </w:r>
      <w:r>
        <w:rPr>
          <w:rFonts w:ascii="Calibri" w:hAnsi="Calibri" w:cs="Calibri"/>
        </w:rPr>
        <w:t xml:space="preserve">, </w:t>
      </w:r>
      <w:r w:rsidR="005F7648">
        <w:rPr>
          <w:rFonts w:ascii="Calibri" w:hAnsi="Calibri" w:cs="Calibri"/>
        </w:rPr>
        <w:pict>
          <v:shape id="_x0000_i1036" type="#_x0000_t75" style="width:20.25pt;height:18.75pt">
            <v:imagedata r:id="rId67" o:title=""/>
          </v:shape>
        </w:pict>
      </w:r>
      <w:r>
        <w:rPr>
          <w:rFonts w:ascii="Calibri" w:hAnsi="Calibri" w:cs="Calibri"/>
        </w:rPr>
        <w:t xml:space="preserve">, </w:t>
      </w:r>
      <w:r w:rsidR="005F7648">
        <w:rPr>
          <w:rFonts w:ascii="Calibri" w:hAnsi="Calibri" w:cs="Calibri"/>
        </w:rPr>
        <w:pict>
          <v:shape id="_x0000_i1037" type="#_x0000_t75" style="width:14.25pt;height:18.75pt">
            <v:imagedata r:id="rId69" o:title=""/>
          </v:shape>
        </w:pict>
      </w:r>
      <w:r>
        <w:rPr>
          <w:rFonts w:ascii="Calibri" w:hAnsi="Calibri" w:cs="Calibri"/>
        </w:rPr>
        <w:t xml:space="preserve"> для потоков людей различных групп мобильности для </w:t>
      </w:r>
      <w:hyperlink w:anchor="Par892" w:history="1">
        <w:r>
          <w:rPr>
            <w:rFonts w:ascii="Calibri" w:hAnsi="Calibri" w:cs="Calibri"/>
            <w:color w:val="0000FF"/>
          </w:rPr>
          <w:t>формул (В.1)</w:t>
        </w:r>
      </w:hyperlink>
      <w:r>
        <w:rPr>
          <w:rFonts w:ascii="Calibri" w:hAnsi="Calibri" w:cs="Calibri"/>
        </w:rPr>
        <w:t xml:space="preserve"> и </w:t>
      </w:r>
      <w:hyperlink w:anchor="Par894" w:history="1">
        <w:r>
          <w:rPr>
            <w:rFonts w:ascii="Calibri" w:hAnsi="Calibri" w:cs="Calibri"/>
            <w:color w:val="0000FF"/>
          </w:rPr>
          <w:t>(В.2)</w:t>
        </w:r>
      </w:hyperlink>
      <w:r>
        <w:rPr>
          <w:rFonts w:ascii="Calibri" w:hAnsi="Calibri" w:cs="Calibri"/>
        </w:rPr>
        <w:t xml:space="preserve"> приведены в таблице В.2.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В.2</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Группы  │ Значения  │       Величина параметров по видам пути j       │</w:t>
      </w:r>
    </w:p>
    <w:p w:rsidR="00EB6A55" w:rsidRDefault="00EB6A55">
      <w:pPr>
        <w:pStyle w:val="ConsPlusCell"/>
        <w:rPr>
          <w:rFonts w:ascii="Courier New" w:hAnsi="Courier New" w:cs="Courier New"/>
          <w:sz w:val="18"/>
          <w:szCs w:val="18"/>
        </w:rPr>
      </w:pPr>
      <w:r>
        <w:rPr>
          <w:rFonts w:ascii="Courier New" w:hAnsi="Courier New" w:cs="Courier New"/>
          <w:sz w:val="18"/>
          <w:szCs w:val="18"/>
        </w:rPr>
        <w:t>│мобильности│параметров ├─────────┬──────────┬──────────┬────────┬────────┤</w:t>
      </w:r>
    </w:p>
    <w:p w:rsidR="00EB6A55" w:rsidRDefault="00EB6A55">
      <w:pPr>
        <w:pStyle w:val="ConsPlusCell"/>
        <w:rPr>
          <w:rFonts w:ascii="Courier New" w:hAnsi="Courier New" w:cs="Courier New"/>
          <w:sz w:val="18"/>
          <w:szCs w:val="18"/>
        </w:rPr>
      </w:pPr>
      <w:r>
        <w:rPr>
          <w:rFonts w:ascii="Courier New" w:hAnsi="Courier New" w:cs="Courier New"/>
          <w:sz w:val="18"/>
          <w:szCs w:val="18"/>
        </w:rPr>
        <w:t>│           │           │горизон- │ лестница │ лестница │ пандус │ пандус │</w:t>
      </w:r>
    </w:p>
    <w:p w:rsidR="00EB6A55" w:rsidRDefault="00EB6A55">
      <w:pPr>
        <w:pStyle w:val="ConsPlusCell"/>
        <w:rPr>
          <w:rFonts w:ascii="Courier New" w:hAnsi="Courier New" w:cs="Courier New"/>
          <w:sz w:val="18"/>
          <w:szCs w:val="18"/>
        </w:rPr>
      </w:pPr>
      <w:r>
        <w:rPr>
          <w:rFonts w:ascii="Courier New" w:hAnsi="Courier New" w:cs="Courier New"/>
          <w:sz w:val="18"/>
          <w:szCs w:val="18"/>
        </w:rPr>
        <w:t>│           │           │тальный  │   вниз   │   вверх  │  вниз  │ вверх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М1    │   V       │   100   │   100    │    60    │  115   │   80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D       │  0,051  │  0,089   │  0,067   │ 0,171  │ 0,107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a     │  0,295  │  0,400   │  0,305   │ 0,399  │ 0,399  │</w:t>
      </w:r>
    </w:p>
    <w:p w:rsidR="00EB6A55" w:rsidRDefault="00EB6A55">
      <w:pPr>
        <w:pStyle w:val="ConsPlusCell"/>
        <w:rPr>
          <w:rFonts w:ascii="Courier New" w:hAnsi="Courier New" w:cs="Courier New"/>
          <w:sz w:val="18"/>
          <w:szCs w:val="18"/>
        </w:rPr>
      </w:pPr>
      <w:r>
        <w:rPr>
          <w:rFonts w:ascii="Courier New" w:hAnsi="Courier New" w:cs="Courier New"/>
          <w:sz w:val="18"/>
          <w:szCs w:val="18"/>
        </w:rPr>
        <w:t>│           │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М2    │   V       │   30    │    30    │    20    │   45   │   25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D       │  0,135  │  0,139   │  0,126   │ 0,171  │ 0,146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a     │  0,335  │  0,346   │  0,348   │ 0,438  │ 0,384  │</w:t>
      </w:r>
    </w:p>
    <w:p w:rsidR="00EB6A55" w:rsidRDefault="00EB6A55">
      <w:pPr>
        <w:pStyle w:val="ConsPlusCell"/>
        <w:rPr>
          <w:rFonts w:ascii="Courier New" w:hAnsi="Courier New" w:cs="Courier New"/>
          <w:sz w:val="18"/>
          <w:szCs w:val="18"/>
        </w:rPr>
      </w:pPr>
      <w:r>
        <w:rPr>
          <w:rFonts w:ascii="Courier New" w:hAnsi="Courier New" w:cs="Courier New"/>
          <w:sz w:val="18"/>
          <w:szCs w:val="18"/>
        </w:rPr>
        <w:t>│           │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М3    │   V       │   70    │    20    │    25    │  105   │   55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D       │  0,102  │  0,208   │  0,120   │ 0,122  │ 0,136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a     │  0,350  │  0,454   │  0,347   │ 0,416  │ 0,446  │</w:t>
      </w:r>
    </w:p>
    <w:p w:rsidR="00EB6A55" w:rsidRDefault="00EB6A55">
      <w:pPr>
        <w:pStyle w:val="ConsPlusCell"/>
        <w:rPr>
          <w:rFonts w:ascii="Courier New" w:hAnsi="Courier New" w:cs="Courier New"/>
          <w:sz w:val="18"/>
          <w:szCs w:val="18"/>
        </w:rPr>
      </w:pPr>
      <w:r>
        <w:rPr>
          <w:rFonts w:ascii="Courier New" w:hAnsi="Courier New" w:cs="Courier New"/>
          <w:sz w:val="18"/>
          <w:szCs w:val="18"/>
        </w:rPr>
        <w:t>│           │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pStyle w:val="ConsPlusCell"/>
        <w:rPr>
          <w:rFonts w:ascii="Courier New" w:hAnsi="Courier New" w:cs="Courier New"/>
          <w:sz w:val="18"/>
          <w:szCs w:val="18"/>
        </w:rPr>
      </w:pPr>
      <w:r>
        <w:rPr>
          <w:rFonts w:ascii="Courier New" w:hAnsi="Courier New" w:cs="Courier New"/>
          <w:sz w:val="18"/>
          <w:szCs w:val="18"/>
        </w:rPr>
        <w:t>│     М4    │   V       │   60    │          │          │  115   │   40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lastRenderedPageBreak/>
        <w:t>│           │   D       │  0,135  │          │          │ 0,146  │ 0,150  │</w:t>
      </w:r>
    </w:p>
    <w:p w:rsidR="00EB6A55" w:rsidRDefault="00EB6A55">
      <w:pPr>
        <w:pStyle w:val="ConsPlusCell"/>
        <w:rPr>
          <w:rFonts w:ascii="Courier New" w:hAnsi="Courier New" w:cs="Courier New"/>
          <w:sz w:val="18"/>
          <w:szCs w:val="18"/>
        </w:rPr>
      </w:pPr>
      <w:r>
        <w:rPr>
          <w:rFonts w:ascii="Courier New" w:hAnsi="Courier New" w:cs="Courier New"/>
          <w:sz w:val="18"/>
          <w:szCs w:val="18"/>
        </w:rPr>
        <w:t>│           │    0,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           │     a     │  0,400  │          │          │ 0,424  │ 0,420  │</w:t>
      </w:r>
    </w:p>
    <w:p w:rsidR="00EB6A55" w:rsidRDefault="00EB6A55">
      <w:pPr>
        <w:pStyle w:val="ConsPlusCell"/>
        <w:rPr>
          <w:rFonts w:ascii="Courier New" w:hAnsi="Courier New" w:cs="Courier New"/>
          <w:sz w:val="18"/>
          <w:szCs w:val="18"/>
        </w:rPr>
      </w:pPr>
      <w:r>
        <w:rPr>
          <w:rFonts w:ascii="Courier New" w:hAnsi="Courier New" w:cs="Courier New"/>
          <w:sz w:val="18"/>
          <w:szCs w:val="18"/>
        </w:rPr>
        <w:t>│           │      j    │         │          │          │        │        │</w:t>
      </w:r>
    </w:p>
    <w:p w:rsidR="00EB6A55" w:rsidRDefault="00EB6A55">
      <w:pPr>
        <w:pStyle w:val="ConsPlusCell"/>
        <w:rPr>
          <w:rFonts w:ascii="Courier New" w:hAnsi="Courier New" w:cs="Courier New"/>
          <w:sz w:val="18"/>
          <w:szCs w:val="18"/>
        </w:rPr>
      </w:pPr>
      <w:r>
        <w:rPr>
          <w:rFonts w:ascii="Courier New" w:hAnsi="Courier New" w:cs="Courier New"/>
          <w:sz w:val="18"/>
          <w:szCs w:val="18"/>
        </w:rPr>
        <w:t>└───────────┴───────────┴─────────┴──────────┴──────────┴────────┴────────┘</w:t>
      </w:r>
    </w:p>
    <w:p w:rsidR="00EB6A55" w:rsidRDefault="00EB6A55">
      <w:pPr>
        <w:widowControl w:val="0"/>
        <w:autoSpaceDE w:val="0"/>
        <w:autoSpaceDN w:val="0"/>
        <w:adjustRightInd w:val="0"/>
        <w:spacing w:after="0" w:line="240" w:lineRule="auto"/>
        <w:ind w:left="540"/>
        <w:jc w:val="both"/>
        <w:rPr>
          <w:rFonts w:ascii="Calibri" w:hAnsi="Calibri" w:cs="Calibri"/>
          <w:sz w:val="18"/>
          <w:szCs w:val="18"/>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В.3. При движении людских потоков с участием МГН на участках пути перед проемами не следует допускать образования плотности потоков выше 0,5. При этом расчетные максимальные значения интенсивности движения </w:t>
      </w:r>
      <w:r w:rsidR="005F7648">
        <w:rPr>
          <w:rFonts w:ascii="Calibri" w:hAnsi="Calibri" w:cs="Calibri"/>
        </w:rPr>
        <w:pict>
          <v:shape id="_x0000_i1038" type="#_x0000_t75" style="width:21.75pt;height:18pt">
            <v:imagedata r:id="rId70" o:title=""/>
          </v:shape>
        </w:pict>
      </w:r>
      <w:r>
        <w:rPr>
          <w:rFonts w:ascii="Calibri" w:hAnsi="Calibri" w:cs="Calibri"/>
        </w:rPr>
        <w:t xml:space="preserve"> через проем различных групп мобильности следует принимать равными: М1 - 19,6 м/мин, М2 - 9,7 м/мин, М3 - 17,6 м/мин, М4 - 16,4 м/мин.</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Г</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(обязательное)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РАСЧЕТ ЧИСЛА ЛИФТОВ, НЕОБХОДИМЫХ ДЛЯ ЭВАКУАЦИИ</w:t>
      </w:r>
    </w:p>
    <w:p w:rsidR="00EB6A55" w:rsidRDefault="00EB6A55">
      <w:pPr>
        <w:widowControl w:val="0"/>
        <w:autoSpaceDE w:val="0"/>
        <w:autoSpaceDN w:val="0"/>
        <w:adjustRightInd w:val="0"/>
        <w:spacing w:after="0" w:line="240" w:lineRule="auto"/>
        <w:jc w:val="center"/>
        <w:rPr>
          <w:rFonts w:ascii="Calibri" w:hAnsi="Calibri" w:cs="Calibri"/>
        </w:rPr>
      </w:pPr>
      <w:bookmarkStart w:id="9" w:name="Par958"/>
      <w:bookmarkEnd w:id="9"/>
      <w:r>
        <w:rPr>
          <w:rFonts w:ascii="Calibri" w:hAnsi="Calibri" w:cs="Calibri"/>
        </w:rPr>
        <w:t>ИНВАЛИДОВ ИЗ ЗОН БЕЗОПАСНОСТИ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Г.1. Расчет числа лифтов для МГН пожаробезопасной зоны, приведенный в настоящем приложении, предназначен для определения с учетом технических паспортных параметров числа лифтов, позволяющего обеспечить требуемую провозную способность для спасения МГН в условиях пожарной опасности.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Г.2. Исходными данными для расчета являются: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число обслуживаемых лифтом этажей с пожаробезопасными зонами;</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высота подъема лифта до уровней расположения пожаробезопасных зон;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расчетное количество, состав МГН в пожаробезопасных зонах на этажах;</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номинальная вместимость (грузоподъемность и скорость лифтов).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Г.3. Основные понятия, применяемые при расчете числа лифтов:</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круговой рейс - движение лифта от основного посадочного этажа до возвращения на этот этаж;</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время кругового рейса - время, затрачиваемое лифтом на совершение кругового рейса, включающее в себя затраты времени на разгон и торможение, движение на номинальной скорости, открывание и закрывание дверей, вход и выход пассажиров из числа МГН.</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Г.4. Вместимость лифта </w:t>
      </w:r>
      <w:r w:rsidR="005F7648">
        <w:rPr>
          <w:rFonts w:ascii="Calibri" w:hAnsi="Calibri" w:cs="Calibri"/>
        </w:rPr>
        <w:pict>
          <v:shape id="_x0000_i1039" type="#_x0000_t75" style="width:29.25pt;height:18.75pt">
            <v:imagedata r:id="rId71" o:title=""/>
          </v:shape>
        </w:pict>
      </w:r>
      <w:r>
        <w:rPr>
          <w:rFonts w:ascii="Calibri" w:hAnsi="Calibri" w:cs="Calibri"/>
        </w:rPr>
        <w:t xml:space="preserve"> определяют исходя из номинальной грузоподъемности лифта и внутренних геометрических размеров кабины с учетом веса МГН со средствами передвижения и с учетом формы, площади проекций МГН в плане.</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Г.5. Число посадочных остановок лифта в зоне безопасности для каждого этажа </w:t>
      </w:r>
      <w:r w:rsidR="005F7648">
        <w:rPr>
          <w:rFonts w:ascii="Calibri" w:hAnsi="Calibri" w:cs="Calibri"/>
        </w:rPr>
        <w:pict>
          <v:shape id="_x0000_i1040" type="#_x0000_t75" style="width:36pt;height:18.75pt">
            <v:imagedata r:id="rId72" o:title=""/>
          </v:shape>
        </w:pict>
      </w:r>
      <w:r>
        <w:rPr>
          <w:rFonts w:ascii="Calibri" w:hAnsi="Calibri" w:cs="Calibri"/>
        </w:rPr>
        <w:t xml:space="preserve"> определяют исходя из расчетной численности людей из числа МГН в пожаробезопасных зонах и вместимости лифта.</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Г.6. Время кругового рейса T для каждой посадки вычисляют по формуле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1" type="#_x0000_t75" style="width:87.75pt;height:33.75pt">
            <v:imagedata r:id="rId73" o:title=""/>
          </v:shape>
        </w:pict>
      </w:r>
      <w:r w:rsidR="00EB6A55">
        <w:rPr>
          <w:rFonts w:ascii="Calibri" w:hAnsi="Calibri" w:cs="Calibri"/>
        </w:rPr>
        <w:t>, (Г.1)</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sidR="005F7648">
        <w:rPr>
          <w:rFonts w:ascii="Calibri" w:hAnsi="Calibri" w:cs="Calibri"/>
        </w:rPr>
        <w:pict>
          <v:shape id="_x0000_i1042" type="#_x0000_t75" style="width:18pt;height:18pt">
            <v:imagedata r:id="rId74" o:title=""/>
          </v:shape>
        </w:pict>
      </w:r>
      <w:r>
        <w:rPr>
          <w:rFonts w:ascii="Calibri" w:hAnsi="Calibri" w:cs="Calibri"/>
        </w:rPr>
        <w:t xml:space="preserve"> - путь, который проходит лифт при совершении кругового рейса на номинальной скорости, м;</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43" type="#_x0000_t75" style="width:14.25pt;height:18pt">
            <v:imagedata r:id="rId75" o:title=""/>
          </v:shape>
        </w:pict>
      </w:r>
      <w:r w:rsidR="00EB6A55">
        <w:rPr>
          <w:rFonts w:ascii="Calibri" w:hAnsi="Calibri" w:cs="Calibri"/>
        </w:rPr>
        <w:t xml:space="preserve"> - номинальная скорость движения кабины лифта, м/с;</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pict>
          <v:shape id="_x0000_i1044" type="#_x0000_t75" style="width:21pt;height:20.25pt">
            <v:imagedata r:id="rId76" o:title=""/>
          </v:shape>
        </w:pict>
      </w:r>
      <w:r w:rsidR="00EB6A55">
        <w:rPr>
          <w:rFonts w:ascii="Calibri" w:hAnsi="Calibri" w:cs="Calibri"/>
        </w:rPr>
        <w:t xml:space="preserve"> - сумма затрат времени на ускорение и замедление лифта, открывание и закрывание дверей, вход и выход пассажиров в течение кругового рейса, с;</w:t>
      </w:r>
    </w:p>
    <w:p w:rsidR="00EB6A55" w:rsidRDefault="005F7648">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pict>
          <v:shape id="_x0000_i1045" type="#_x0000_t75" style="width:15pt;height:18pt">
            <v:imagedata r:id="rId77" o:title=""/>
          </v:shape>
        </w:pict>
      </w:r>
      <w:r w:rsidR="00EB6A55">
        <w:rPr>
          <w:rFonts w:ascii="Calibri" w:hAnsi="Calibri" w:cs="Calibri"/>
        </w:rPr>
        <w:t xml:space="preserve"> - коэффициент, учитывающий возможные дополнительные затраты времени при работе лифта (задержка при входе/выходе пассажиров, регулирование скорости движения дверей и т.п.). Допускается принимать </w:t>
      </w:r>
      <w:r>
        <w:rPr>
          <w:rFonts w:ascii="Calibri" w:hAnsi="Calibri" w:cs="Calibri"/>
        </w:rPr>
        <w:pict>
          <v:shape id="_x0000_i1046" type="#_x0000_t75" style="width:65.25pt;height:18pt">
            <v:imagedata r:id="rId78" o:title=""/>
          </v:shape>
        </w:pict>
      </w:r>
      <w:r w:rsidR="00EB6A55">
        <w:rPr>
          <w:rFonts w:ascii="Calibri" w:hAnsi="Calibri" w:cs="Calibri"/>
        </w:rPr>
        <w:t>.</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Исходные данные для проведения расчетов затрат времени могут быть взяты из технических паспортов на лифты. Для пассажиров группы М4 (на креслах-колясках) время на вход/выход приведены в таблице Г.1.</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Таблица Г.1</w:t>
      </w:r>
    </w:p>
    <w:p w:rsidR="00EB6A55" w:rsidRDefault="00EB6A55">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540"/>
        <w:gridCol w:w="3780"/>
        <w:gridCol w:w="4200"/>
      </w:tblGrid>
      <w:tr w:rsidR="00EB6A55">
        <w:trPr>
          <w:trHeight w:val="600"/>
          <w:tblCellSpacing w:w="5" w:type="nil"/>
        </w:trPr>
        <w:tc>
          <w:tcPr>
            <w:tcW w:w="1540" w:type="dxa"/>
            <w:vMerge w:val="restart"/>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Пассажиры</w:t>
            </w:r>
            <w:r>
              <w:rPr>
                <w:rFonts w:ascii="Courier New" w:hAnsi="Courier New" w:cs="Courier New"/>
                <w:sz w:val="20"/>
                <w:szCs w:val="20"/>
              </w:rPr>
              <w:br/>
              <w:t>группы М4</w:t>
            </w:r>
            <w:r>
              <w:rPr>
                <w:rFonts w:ascii="Courier New" w:hAnsi="Courier New" w:cs="Courier New"/>
                <w:sz w:val="20"/>
                <w:szCs w:val="20"/>
              </w:rPr>
              <w:br/>
              <w:t xml:space="preserve">в кабине </w:t>
            </w:r>
            <w:r>
              <w:rPr>
                <w:rFonts w:ascii="Courier New" w:hAnsi="Courier New" w:cs="Courier New"/>
                <w:sz w:val="20"/>
                <w:szCs w:val="20"/>
              </w:rPr>
              <w:br/>
              <w:t xml:space="preserve">  лифта  </w:t>
            </w:r>
          </w:p>
        </w:tc>
        <w:tc>
          <w:tcPr>
            <w:tcW w:w="7980" w:type="dxa"/>
            <w:gridSpan w:val="2"/>
            <w:tcBorders>
              <w:top w:val="single" w:sz="4" w:space="0" w:color="auto"/>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Время на вход/выход пассажиров              </w:t>
            </w:r>
            <w:r>
              <w:rPr>
                <w:rFonts w:ascii="Courier New" w:hAnsi="Courier New" w:cs="Courier New"/>
                <w:sz w:val="20"/>
                <w:szCs w:val="20"/>
              </w:rPr>
              <w:br/>
              <w:t xml:space="preserve">    (заполнение/освобождение лифтовой кабины), с      </w:t>
            </w:r>
          </w:p>
        </w:tc>
      </w:tr>
      <w:tr w:rsidR="00EB6A55">
        <w:trPr>
          <w:tblCellSpacing w:w="5" w:type="nil"/>
        </w:trPr>
        <w:tc>
          <w:tcPr>
            <w:tcW w:w="1540" w:type="dxa"/>
            <w:vMerge/>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на вход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на выход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Один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6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5,5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Два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8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7,5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Три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10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9             </w:t>
            </w:r>
          </w:p>
        </w:tc>
      </w:tr>
      <w:tr w:rsidR="00EB6A55">
        <w:trPr>
          <w:tblCellSpacing w:w="5" w:type="nil"/>
        </w:trPr>
        <w:tc>
          <w:tcPr>
            <w:tcW w:w="154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Четыре  </w:t>
            </w:r>
          </w:p>
        </w:tc>
        <w:tc>
          <w:tcPr>
            <w:tcW w:w="378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12             </w:t>
            </w:r>
          </w:p>
        </w:tc>
        <w:tc>
          <w:tcPr>
            <w:tcW w:w="4200" w:type="dxa"/>
            <w:tcBorders>
              <w:left w:val="single" w:sz="4" w:space="0" w:color="auto"/>
              <w:bottom w:val="single" w:sz="4" w:space="0" w:color="auto"/>
              <w:right w:val="single" w:sz="4" w:space="0" w:color="auto"/>
            </w:tcBorders>
          </w:tcPr>
          <w:p w:rsidR="00EB6A55" w:rsidRDefault="00EB6A55">
            <w:pPr>
              <w:pStyle w:val="ConsPlusCell"/>
              <w:rPr>
                <w:rFonts w:ascii="Courier New" w:hAnsi="Courier New" w:cs="Courier New"/>
                <w:sz w:val="20"/>
                <w:szCs w:val="20"/>
              </w:rPr>
            </w:pPr>
            <w:r>
              <w:rPr>
                <w:rFonts w:ascii="Courier New" w:hAnsi="Courier New" w:cs="Courier New"/>
                <w:sz w:val="20"/>
                <w:szCs w:val="20"/>
              </w:rPr>
              <w:t xml:space="preserve">             11             </w:t>
            </w:r>
          </w:p>
        </w:tc>
      </w:tr>
    </w:tbl>
    <w:p w:rsidR="00EB6A55" w:rsidRDefault="00EB6A55">
      <w:pPr>
        <w:widowControl w:val="0"/>
        <w:autoSpaceDE w:val="0"/>
        <w:autoSpaceDN w:val="0"/>
        <w:adjustRightInd w:val="0"/>
        <w:spacing w:after="0" w:line="240" w:lineRule="auto"/>
        <w:ind w:firstLine="540"/>
        <w:jc w:val="both"/>
        <w:rPr>
          <w:rFonts w:ascii="Calibri" w:hAnsi="Calibri" w:cs="Calibri"/>
          <w:sz w:val="20"/>
          <w:szCs w:val="20"/>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Г.7. Общее время рейсов лифта </w:t>
      </w:r>
      <w:r w:rsidR="005F7648">
        <w:rPr>
          <w:rFonts w:ascii="Calibri" w:hAnsi="Calibri" w:cs="Calibri"/>
        </w:rPr>
        <w:pict>
          <v:shape id="_x0000_i1047" type="#_x0000_t75" style="width:12.75pt;height:18pt">
            <v:imagedata r:id="rId79" o:title=""/>
          </v:shape>
        </w:pict>
      </w:r>
      <w:r>
        <w:rPr>
          <w:rFonts w:ascii="Calibri" w:hAnsi="Calibri" w:cs="Calibri"/>
        </w:rPr>
        <w:t xml:space="preserve"> определяется суммой времени всех круговых рейсов </w:t>
      </w:r>
      <w:r w:rsidR="005F7648">
        <w:rPr>
          <w:rFonts w:ascii="Calibri" w:hAnsi="Calibri" w:cs="Calibri"/>
        </w:rPr>
        <w:pict>
          <v:shape id="_x0000_i1048" type="#_x0000_t75" style="width:12.75pt;height:18.75pt">
            <v:imagedata r:id="rId80"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49" type="#_x0000_t75" style="width:50.25pt;height:20.25pt">
            <v:imagedata r:id="rId81" o:title=""/>
          </v:shape>
        </w:pict>
      </w:r>
      <w:r w:rsidR="00EB6A55">
        <w:rPr>
          <w:rFonts w:ascii="Calibri" w:hAnsi="Calibri" w:cs="Calibri"/>
        </w:rPr>
        <w:t>. (Г.2)</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Г.8. Число лифтов, обеспечивающих необходимый провоз МГН из пожаробезопасных зон на основной этаж n, вычисляют по формуле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0" type="#_x0000_t75" style="width:56.25pt;height:18pt">
            <v:imagedata r:id="rId82" o:title=""/>
          </v:shape>
        </w:pict>
      </w:r>
      <w:r w:rsidR="00EB6A55">
        <w:rPr>
          <w:rFonts w:ascii="Calibri" w:hAnsi="Calibri" w:cs="Calibri"/>
        </w:rPr>
        <w:t>. (Г.3)</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расчета по формуле (Г.3) округляют до большего ближайшего целого значения.</w:t>
      </w:r>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Г.9. При установке группы лифтов с различной грузоподъемностью и скоростью проводится расчет по каждому лифту. Расчетное время работы каждого лифта для спасения МГН не должно превышать 10 мин.</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EB6A55">
      <w:pPr>
        <w:widowControl w:val="0"/>
        <w:autoSpaceDE w:val="0"/>
        <w:autoSpaceDN w:val="0"/>
        <w:adjustRightInd w:val="0"/>
        <w:spacing w:after="0" w:line="240" w:lineRule="auto"/>
        <w:jc w:val="right"/>
        <w:outlineLvl w:val="0"/>
        <w:rPr>
          <w:rFonts w:ascii="Calibri" w:hAnsi="Calibri" w:cs="Calibri"/>
        </w:rPr>
      </w:pPr>
      <w:r>
        <w:rPr>
          <w:rFonts w:ascii="Calibri" w:hAnsi="Calibri" w:cs="Calibri"/>
        </w:rPr>
        <w:t>Приложение Д</w:t>
      </w:r>
    </w:p>
    <w:p w:rsidR="00EB6A55" w:rsidRDefault="00EB6A55">
      <w:pPr>
        <w:widowControl w:val="0"/>
        <w:autoSpaceDE w:val="0"/>
        <w:autoSpaceDN w:val="0"/>
        <w:adjustRightInd w:val="0"/>
        <w:spacing w:after="0" w:line="240" w:lineRule="auto"/>
        <w:jc w:val="right"/>
        <w:rPr>
          <w:rFonts w:ascii="Calibri" w:hAnsi="Calibri" w:cs="Calibri"/>
        </w:rPr>
      </w:pPr>
      <w:r>
        <w:rPr>
          <w:rFonts w:ascii="Calibri" w:hAnsi="Calibri" w:cs="Calibri"/>
        </w:rPr>
        <w:t>(рекомендуемое)</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ПРИМЕРЫ ОБУСТРОЙСТВА ЗДАНИЙ, СООРУЖЕНИЙ И ИХ ПОМЕЩЕНИЙ</w:t>
      </w:r>
    </w:p>
    <w:p w:rsidR="00EB6A55" w:rsidRDefault="00EB6A55">
      <w:pPr>
        <w:widowControl w:val="0"/>
        <w:autoSpaceDE w:val="0"/>
        <w:autoSpaceDN w:val="0"/>
        <w:adjustRightInd w:val="0"/>
        <w:spacing w:after="0" w:line="240" w:lineRule="auto"/>
        <w:ind w:left="540"/>
        <w:jc w:val="both"/>
        <w:rPr>
          <w:rFonts w:ascii="Calibri" w:hAnsi="Calibri" w:cs="Calibri"/>
        </w:rPr>
      </w:pPr>
      <w:bookmarkStart w:id="10" w:name="Par1017"/>
      <w:bookmarkEnd w:id="10"/>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1" type="#_x0000_t75" style="width:350.25pt;height:194.25pt">
            <v:imagedata r:id="rId83" o:title=""/>
          </v:shape>
        </w:pic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2" type="#_x0000_t75" style="width:346.5pt;height:153pt">
            <v:imagedata r:id="rId84"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 Кресло-коляска для взрослых</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11" w:name="Par1023"/>
      <w:bookmarkEnd w:id="11"/>
    </w:p>
    <w:p w:rsidR="00EB6A55" w:rsidRDefault="00EB6A55">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Примечание. Все размеры в </w:t>
      </w:r>
      <w:hyperlink w:anchor="Par1017" w:history="1">
        <w:r>
          <w:rPr>
            <w:rFonts w:ascii="Calibri" w:hAnsi="Calibri" w:cs="Calibri"/>
            <w:color w:val="0000FF"/>
          </w:rPr>
          <w:t>Приложении Д</w:t>
        </w:r>
      </w:hyperlink>
      <w:r>
        <w:rPr>
          <w:rFonts w:ascii="Calibri" w:hAnsi="Calibri" w:cs="Calibri"/>
        </w:rPr>
        <w:t xml:space="preserve"> указаны в мм.</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3" type="#_x0000_t75" style="width:346.5pt;height:330.75pt">
            <v:imagedata r:id="rId85"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4" type="#_x0000_t75" style="width:359.25pt;height:185.25pt">
            <v:imagedata r:id="rId86"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Д.2. Зоны досягаемости и эргономические параметры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55" type="#_x0000_t75" style="width:357pt;height:258.75pt">
            <v:imagedata r:id="rId87"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6" type="#_x0000_t75" style="width:367.5pt;height:212.25pt">
            <v:imagedata r:id="rId88"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Д.3. Оптимальные габариты полосы движения</w:t>
      </w:r>
    </w:p>
    <w:p w:rsidR="00EB6A55" w:rsidRDefault="00EB6A55">
      <w:pPr>
        <w:widowControl w:val="0"/>
        <w:autoSpaceDE w:val="0"/>
        <w:autoSpaceDN w:val="0"/>
        <w:adjustRightInd w:val="0"/>
        <w:spacing w:after="0" w:line="240" w:lineRule="auto"/>
        <w:ind w:left="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7" type="#_x0000_t75" style="width:357pt;height:195pt">
            <v:imagedata r:id="rId89"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8" type="#_x0000_t75" style="width:326.25pt;height:239.25pt">
            <v:imagedata r:id="rId90"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Д.4. Оптимальные габариты полосы движения</w:t>
      </w:r>
    </w:p>
    <w:p w:rsidR="00EB6A55" w:rsidRDefault="00EB6A55">
      <w:pPr>
        <w:widowControl w:val="0"/>
        <w:autoSpaceDE w:val="0"/>
        <w:autoSpaceDN w:val="0"/>
        <w:adjustRightInd w:val="0"/>
        <w:spacing w:after="0" w:line="240" w:lineRule="auto"/>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59" type="#_x0000_t75" style="width:361.5pt;height:384pt">
            <v:imagedata r:id="rId91"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0" type="#_x0000_t75" style="width:307.5pt;height:170.25pt">
            <v:imagedata r:id="rId92"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Д.5. Пути движения у здания</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1" type="#_x0000_t75" style="width:396.75pt;height:175.5pt">
            <v:imagedata r:id="rId93"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2" type="#_x0000_t75" style="width:354.75pt;height:285pt">
            <v:imagedata r:id="rId94"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Д.6. Автостоянки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3" type="#_x0000_t75" style="width:252.75pt;height:146.25pt">
            <v:imagedata r:id="rId95"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4" type="#_x0000_t75" style="width:387pt;height:153pt">
            <v:imagedata r:id="rId96"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Д.7. Автостоянки</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5" type="#_x0000_t75" style="width:315pt;height:282.75pt">
            <v:imagedata r:id="rId97"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6" type="#_x0000_t75" style="width:303pt;height:238.5pt">
            <v:imagedata r:id="rId98"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Д.8. Минимальные параметры коридоров</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7" type="#_x0000_t75" style="width:388.5pt;height:382.5pt">
            <v:imagedata r:id="rId99"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68" type="#_x0000_t75" style="width:347.25pt;height:165pt">
            <v:imagedata r:id="rId100"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Д.9. Пандусы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69" type="#_x0000_t75" style="width:357pt;height:389.25pt">
            <v:imagedata r:id="rId101"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pict>
          <v:shape id="_x0000_i1070" type="#_x0000_t75" style="width:343.5pt;height:188.25pt">
            <v:imagedata r:id="rId102"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Д.10. Входные тамбуры</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1" type="#_x0000_t75" style="width:333pt;height:480pt">
            <v:imagedata r:id="rId103" o:title=""/>
          </v:shape>
        </w:pic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Рисунок Д.11. Кабины общественного туалета</w:t>
      </w:r>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2" type="#_x0000_t75" style="width:396.75pt;height:183.75pt">
            <v:imagedata r:id="rId104"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5F7648">
      <w:pPr>
        <w:widowControl w:val="0"/>
        <w:autoSpaceDE w:val="0"/>
        <w:autoSpaceDN w:val="0"/>
        <w:adjustRightInd w:val="0"/>
        <w:spacing w:after="0" w:line="240" w:lineRule="auto"/>
        <w:jc w:val="center"/>
        <w:rPr>
          <w:rFonts w:ascii="Calibri" w:hAnsi="Calibri" w:cs="Calibri"/>
        </w:rPr>
      </w:pPr>
      <w:r>
        <w:rPr>
          <w:rFonts w:ascii="Calibri" w:hAnsi="Calibri" w:cs="Calibri"/>
        </w:rPr>
        <w:pict>
          <v:shape id="_x0000_i1073" type="#_x0000_t75" style="width:396.75pt;height:317.25pt">
            <v:imagedata r:id="rId105" o:title=""/>
          </v:shape>
        </w:pict>
      </w:r>
    </w:p>
    <w:p w:rsidR="00EB6A55" w:rsidRDefault="00EB6A55">
      <w:pPr>
        <w:widowControl w:val="0"/>
        <w:autoSpaceDE w:val="0"/>
        <w:autoSpaceDN w:val="0"/>
        <w:adjustRightInd w:val="0"/>
        <w:spacing w:after="0" w:line="240" w:lineRule="auto"/>
        <w:jc w:val="center"/>
        <w:rPr>
          <w:rFonts w:ascii="Calibri" w:hAnsi="Calibri" w:cs="Calibri"/>
        </w:rPr>
      </w:pPr>
    </w:p>
    <w:p w:rsidR="00EB6A55" w:rsidRDefault="00EB6A55">
      <w:pPr>
        <w:widowControl w:val="0"/>
        <w:autoSpaceDE w:val="0"/>
        <w:autoSpaceDN w:val="0"/>
        <w:adjustRightInd w:val="0"/>
        <w:spacing w:after="0" w:line="240" w:lineRule="auto"/>
        <w:jc w:val="center"/>
        <w:rPr>
          <w:rFonts w:ascii="Calibri" w:hAnsi="Calibri" w:cs="Calibri"/>
        </w:rPr>
      </w:pPr>
      <w:r>
        <w:rPr>
          <w:rFonts w:ascii="Calibri" w:hAnsi="Calibri" w:cs="Calibri"/>
        </w:rPr>
        <w:t>Рисунок Д.12. Кассы, телефоны-автоматы, платежные терминалы</w:t>
      </w:r>
    </w:p>
    <w:p w:rsidR="00EB6A55" w:rsidRDefault="00EB6A55">
      <w:pPr>
        <w:widowControl w:val="0"/>
        <w:autoSpaceDE w:val="0"/>
        <w:autoSpaceDN w:val="0"/>
        <w:adjustRightInd w:val="0"/>
        <w:spacing w:after="0" w:line="240" w:lineRule="auto"/>
        <w:ind w:firstLine="540"/>
        <w:jc w:val="both"/>
        <w:rPr>
          <w:rFonts w:ascii="Calibri" w:hAnsi="Calibri" w:cs="Calibri"/>
        </w:rPr>
      </w:pPr>
      <w:bookmarkStart w:id="12" w:name="Par1089"/>
      <w:bookmarkEnd w:id="12"/>
    </w:p>
    <w:p w:rsidR="00EB6A55" w:rsidRDefault="00EB6A55">
      <w:pPr>
        <w:widowControl w:val="0"/>
        <w:autoSpaceDE w:val="0"/>
        <w:autoSpaceDN w:val="0"/>
        <w:adjustRightInd w:val="0"/>
        <w:spacing w:after="0" w:line="240" w:lineRule="auto"/>
        <w:ind w:firstLine="540"/>
        <w:jc w:val="both"/>
        <w:rPr>
          <w:rFonts w:ascii="Calibri" w:hAnsi="Calibri" w:cs="Calibri"/>
        </w:rPr>
      </w:pPr>
    </w:p>
    <w:p w:rsidR="00EB6A55" w:rsidRDefault="00EB6A55">
      <w:pPr>
        <w:widowControl w:val="0"/>
        <w:autoSpaceDE w:val="0"/>
        <w:autoSpaceDN w:val="0"/>
        <w:adjustRightInd w:val="0"/>
        <w:spacing w:after="0" w:line="240" w:lineRule="auto"/>
        <w:rPr>
          <w:rFonts w:ascii="Calibri" w:hAnsi="Calibri" w:cs="Calibri"/>
        </w:rPr>
      </w:pPr>
      <w:r>
        <w:rPr>
          <w:rFonts w:ascii="Calibri" w:hAnsi="Calibri" w:cs="Calibri"/>
        </w:rPr>
        <w:br/>
      </w:r>
      <w:hyperlink r:id="rId106" w:history="1">
        <w:r>
          <w:rPr>
            <w:rFonts w:ascii="Calibri" w:hAnsi="Calibri" w:cs="Calibri"/>
            <w:i/>
            <w:iCs/>
            <w:color w:val="0000FF"/>
          </w:rPr>
          <w:t>"СП 59.13330.2012. Свод правил. Доступность зданий и сооружений для маломобильных групп населения. Актуализированная редакция СНиП 35-01-2001" (утв. Приказом Минрегиона России от 27.12.2011 N 605) {КонсультантПлюс}</w:t>
        </w:r>
      </w:hyperlink>
      <w:r>
        <w:rPr>
          <w:rFonts w:ascii="Calibri" w:hAnsi="Calibri" w:cs="Calibri"/>
        </w:rPr>
        <w:br/>
      </w:r>
    </w:p>
    <w:p w:rsidR="00AC486A" w:rsidRDefault="005F7648"/>
    <w:sectPr w:rsidR="00AC486A" w:rsidSect="005B3A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A55"/>
    <w:rsid w:val="005F7648"/>
    <w:rsid w:val="00C91952"/>
    <w:rsid w:val="00D96332"/>
    <w:rsid w:val="00EB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B6A5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B6A55"/>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5F76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6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B6A55"/>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B6A55"/>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B6A55"/>
    <w:pPr>
      <w:widowControl w:val="0"/>
      <w:autoSpaceDE w:val="0"/>
      <w:autoSpaceDN w:val="0"/>
      <w:adjustRightInd w:val="0"/>
      <w:spacing w:after="0" w:line="240" w:lineRule="auto"/>
    </w:pPr>
    <w:rPr>
      <w:rFonts w:ascii="Calibri" w:eastAsiaTheme="minorEastAsia" w:hAnsi="Calibri" w:cs="Calibri"/>
      <w:lang w:eastAsia="ru-RU"/>
    </w:rPr>
  </w:style>
  <w:style w:type="paragraph" w:styleId="a3">
    <w:name w:val="Balloon Text"/>
    <w:basedOn w:val="a"/>
    <w:link w:val="a4"/>
    <w:uiPriority w:val="99"/>
    <w:semiHidden/>
    <w:unhideWhenUsed/>
    <w:rsid w:val="005F76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F76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13CF025B996E9BCE8069B01C18A8305BD43D22601610628EA30D3F7U7c6F" TargetMode="External"/><Relationship Id="rId21" Type="http://schemas.openxmlformats.org/officeDocument/2006/relationships/hyperlink" Target="consultantplus://offline/ref=313CF025B996E9BCE8069B01C18A8305BD43DC2200610628EA30D3F7U7c6F" TargetMode="External"/><Relationship Id="rId42" Type="http://schemas.openxmlformats.org/officeDocument/2006/relationships/hyperlink" Target="consultantplus://offline/ref=409637F09B05FF0AC8F14AD95D63298A61264B323E462D1AD05FC3V5cDF" TargetMode="External"/><Relationship Id="rId47" Type="http://schemas.openxmlformats.org/officeDocument/2006/relationships/hyperlink" Target="consultantplus://offline/ref=409637F09B05FF0AC8F14AD95D63298A61254435371B27128953C15AV4c9F" TargetMode="External"/><Relationship Id="rId63" Type="http://schemas.openxmlformats.org/officeDocument/2006/relationships/image" Target="media/image5.wmf"/><Relationship Id="rId68" Type="http://schemas.openxmlformats.org/officeDocument/2006/relationships/image" Target="media/image10.wmf"/><Relationship Id="rId84" Type="http://schemas.openxmlformats.org/officeDocument/2006/relationships/image" Target="media/image26.png"/><Relationship Id="rId89" Type="http://schemas.openxmlformats.org/officeDocument/2006/relationships/image" Target="media/image31.png"/><Relationship Id="rId16" Type="http://schemas.openxmlformats.org/officeDocument/2006/relationships/hyperlink" Target="consultantplus://offline/ref=313CF025B996E9BCE8069B01C18A8305BD45DB2C0A610628EA30D3F7U7c6F" TargetMode="External"/><Relationship Id="rId107" Type="http://schemas.openxmlformats.org/officeDocument/2006/relationships/fontTable" Target="fontTable.xml"/><Relationship Id="rId11" Type="http://schemas.openxmlformats.org/officeDocument/2006/relationships/hyperlink" Target="consultantplus://offline/ref=313CF025B996E9BCE8068414C48A8305BD42D92D0B6B5B22E269DFF571U3c3F" TargetMode="External"/><Relationship Id="rId32" Type="http://schemas.openxmlformats.org/officeDocument/2006/relationships/hyperlink" Target="consultantplus://offline/ref=409637F09B05FF0AC8F14AD95D63298A64244A363E462D1AD05FC3V5cDF" TargetMode="External"/><Relationship Id="rId37" Type="http://schemas.openxmlformats.org/officeDocument/2006/relationships/hyperlink" Target="consultantplus://offline/ref=409637F09B05FF0AC8F14AD95D63298A61244B3E301B27128953C15AV4c9F" TargetMode="External"/><Relationship Id="rId53" Type="http://schemas.openxmlformats.org/officeDocument/2006/relationships/hyperlink" Target="consultantplus://offline/ref=409637F09B05FF0AC8F14AD95D63298A61244B3E301B27128953C15AV4c9F" TargetMode="External"/><Relationship Id="rId58" Type="http://schemas.openxmlformats.org/officeDocument/2006/relationships/hyperlink" Target="consultantplus://offline/ref=409637F09B05FF0AC8F14AD95D63298A64244A363E462D1AD05FC3V5cDF" TargetMode="External"/><Relationship Id="rId74" Type="http://schemas.openxmlformats.org/officeDocument/2006/relationships/image" Target="media/image16.wmf"/><Relationship Id="rId79" Type="http://schemas.openxmlformats.org/officeDocument/2006/relationships/image" Target="media/image21.wmf"/><Relationship Id="rId102" Type="http://schemas.openxmlformats.org/officeDocument/2006/relationships/image" Target="media/image44.png"/><Relationship Id="rId5" Type="http://schemas.openxmlformats.org/officeDocument/2006/relationships/hyperlink" Target="consultantplus://offline/ref=313CF025B996E9BCE8068414C48A8305BD42D827026F5B22E269DFF571U3c3F" TargetMode="External"/><Relationship Id="rId90" Type="http://schemas.openxmlformats.org/officeDocument/2006/relationships/image" Target="media/image32.png"/><Relationship Id="rId95" Type="http://schemas.openxmlformats.org/officeDocument/2006/relationships/image" Target="media/image37.png"/><Relationship Id="rId22" Type="http://schemas.openxmlformats.org/officeDocument/2006/relationships/hyperlink" Target="consultantplus://offline/ref=313CF025B996E9BCE8069B01C18A8305BD42DD2D06610628EA30D3F7U7c6F" TargetMode="External"/><Relationship Id="rId27" Type="http://schemas.openxmlformats.org/officeDocument/2006/relationships/hyperlink" Target="consultantplus://offline/ref=313CF025B996E9BCE8069B01C18A8305BD42DF2206610628EA30D3F7U7c6F" TargetMode="External"/><Relationship Id="rId43" Type="http://schemas.openxmlformats.org/officeDocument/2006/relationships/hyperlink" Target="consultantplus://offline/ref=409637F09B05FF0AC8F14AD95D63298A66204B373E462D1AD05FC3V5cDF" TargetMode="External"/><Relationship Id="rId48" Type="http://schemas.openxmlformats.org/officeDocument/2006/relationships/hyperlink" Target="consultantplus://offline/ref=409637F09B05FF0AC8F14AD95D63298A64244A363E462D1AD05FC3V5cDF" TargetMode="External"/><Relationship Id="rId64" Type="http://schemas.openxmlformats.org/officeDocument/2006/relationships/image" Target="media/image6.wmf"/><Relationship Id="rId69" Type="http://schemas.openxmlformats.org/officeDocument/2006/relationships/image" Target="media/image11.wmf"/><Relationship Id="rId80" Type="http://schemas.openxmlformats.org/officeDocument/2006/relationships/image" Target="media/image22.wmf"/><Relationship Id="rId85" Type="http://schemas.openxmlformats.org/officeDocument/2006/relationships/image" Target="media/image27.png"/><Relationship Id="rId12" Type="http://schemas.openxmlformats.org/officeDocument/2006/relationships/hyperlink" Target="consultantplus://offline/ref=313CF025B996E9BCE8068414C48A8305BD42D827026F5B22E269DFF571U3c3F" TargetMode="External"/><Relationship Id="rId17" Type="http://schemas.openxmlformats.org/officeDocument/2006/relationships/hyperlink" Target="consultantplus://offline/ref=313CF025B996E9BCE8069B01C18A8305BD42D32105610628EA30D3F7U7c6F" TargetMode="External"/><Relationship Id="rId33" Type="http://schemas.openxmlformats.org/officeDocument/2006/relationships/hyperlink" Target="consultantplus://offline/ref=409637F09B05FF0AC8F14AD95D63298A61244931331B27128953C15AV4c9F" TargetMode="External"/><Relationship Id="rId38" Type="http://schemas.openxmlformats.org/officeDocument/2006/relationships/hyperlink" Target="consultantplus://offline/ref=409637F09B05FF0AC8F14AD95D63298A61244A333C1B27128953C15AV4c9F" TargetMode="External"/><Relationship Id="rId59" Type="http://schemas.openxmlformats.org/officeDocument/2006/relationships/image" Target="media/image1.wmf"/><Relationship Id="rId103" Type="http://schemas.openxmlformats.org/officeDocument/2006/relationships/image" Target="media/image45.png"/><Relationship Id="rId108" Type="http://schemas.openxmlformats.org/officeDocument/2006/relationships/theme" Target="theme/theme1.xml"/><Relationship Id="rId20" Type="http://schemas.openxmlformats.org/officeDocument/2006/relationships/hyperlink" Target="consultantplus://offline/ref=313CF025B996E9BCE8069B01C18A8305BD44DA2001610628EA30D3F7U7c6F" TargetMode="External"/><Relationship Id="rId41" Type="http://schemas.openxmlformats.org/officeDocument/2006/relationships/hyperlink" Target="consultantplus://offline/ref=409637F09B05FF0AC8F14AD95D63298A61254A31361B27128953C15AV4c9F" TargetMode="External"/><Relationship Id="rId54" Type="http://schemas.openxmlformats.org/officeDocument/2006/relationships/hyperlink" Target="consultantplus://offline/ref=409637F09B05FF0AC8F14AD95D63298A612445343C1B27128953C15AV4c9F" TargetMode="External"/><Relationship Id="rId62" Type="http://schemas.openxmlformats.org/officeDocument/2006/relationships/image" Target="media/image4.wmf"/><Relationship Id="rId70" Type="http://schemas.openxmlformats.org/officeDocument/2006/relationships/image" Target="media/image12.wmf"/><Relationship Id="rId75" Type="http://schemas.openxmlformats.org/officeDocument/2006/relationships/image" Target="media/image17.wmf"/><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png"/><Relationship Id="rId1" Type="http://schemas.openxmlformats.org/officeDocument/2006/relationships/styles" Target="styles.xml"/><Relationship Id="rId6" Type="http://schemas.openxmlformats.org/officeDocument/2006/relationships/hyperlink" Target="consultantplus://offline/ref=313CF025B996E9BCE8068414C48A8305B440D22706610628EA30D3F7U7c6F" TargetMode="External"/><Relationship Id="rId15" Type="http://schemas.openxmlformats.org/officeDocument/2006/relationships/hyperlink" Target="consultantplus://offline/ref=313CF025B996E9BCE8069B01C18A8305BD40DD21083C0C20B33CD1UFc0F" TargetMode="External"/><Relationship Id="rId23" Type="http://schemas.openxmlformats.org/officeDocument/2006/relationships/hyperlink" Target="consultantplus://offline/ref=313CF025B996E9BCE8069B01C18A8305BD44D92603610628EA30D3F7U7c6F" TargetMode="External"/><Relationship Id="rId28" Type="http://schemas.openxmlformats.org/officeDocument/2006/relationships/hyperlink" Target="consultantplus://offline/ref=313CF025B996E9BCE8068414C48A8305BD40DA270B625B22E269DFF571332E3E2B1EEEDE9B98685BUAcCF" TargetMode="External"/><Relationship Id="rId36" Type="http://schemas.openxmlformats.org/officeDocument/2006/relationships/hyperlink" Target="consultantplus://offline/ref=409637F09B05FF0AC8F14AD95D63298A61244931331B27128953C15AV4c9F" TargetMode="External"/><Relationship Id="rId49" Type="http://schemas.openxmlformats.org/officeDocument/2006/relationships/hyperlink" Target="consultantplus://offline/ref=409637F09B05FF0AC8F14AD95D63298A61244931331B27128953C15AV4c9F" TargetMode="External"/><Relationship Id="rId57" Type="http://schemas.openxmlformats.org/officeDocument/2006/relationships/hyperlink" Target="consultantplus://offline/ref=409637F09B05FF0AC8F14AD95D63298A64244A363E462D1AD05FC35D460F184CFE9C6595C893V4cDF" TargetMode="External"/><Relationship Id="rId106" Type="http://schemas.openxmlformats.org/officeDocument/2006/relationships/hyperlink" Target="consultantplus://offline/ref=409637F09B05FF0AC8F14AD95D63298A61234435301B27128953C15A49500F4BB7906495C99B4CVBc7F" TargetMode="External"/><Relationship Id="rId10" Type="http://schemas.openxmlformats.org/officeDocument/2006/relationships/hyperlink" Target="consultantplus://offline/ref=313CF025B996E9BCE8068414C48A8305BD42D820016F5B22E269DFF571U3c3F" TargetMode="External"/><Relationship Id="rId31" Type="http://schemas.openxmlformats.org/officeDocument/2006/relationships/hyperlink" Target="consultantplus://offline/ref=409637F09B05FF0AC8F155CC5863298A61244F3331197A18810ACD584EV5cFF" TargetMode="External"/><Relationship Id="rId44" Type="http://schemas.openxmlformats.org/officeDocument/2006/relationships/hyperlink" Target="consultantplus://offline/ref=409637F09B05FF0AC8F14AD95D63298A61244931301B27128953C15AV4c9F" TargetMode="External"/><Relationship Id="rId52" Type="http://schemas.openxmlformats.org/officeDocument/2006/relationships/hyperlink" Target="consultantplus://offline/ref=409637F09B05FF0AC8F14AD95D63298A61244A3F351B27128953C15AV4c9F" TargetMode="External"/><Relationship Id="rId60" Type="http://schemas.openxmlformats.org/officeDocument/2006/relationships/image" Target="media/image2.wmf"/><Relationship Id="rId65" Type="http://schemas.openxmlformats.org/officeDocument/2006/relationships/image" Target="media/image7.wmf"/><Relationship Id="rId73" Type="http://schemas.openxmlformats.org/officeDocument/2006/relationships/image" Target="media/image15.wmf"/><Relationship Id="rId78" Type="http://schemas.openxmlformats.org/officeDocument/2006/relationships/image" Target="media/image20.wmf"/><Relationship Id="rId81" Type="http://schemas.openxmlformats.org/officeDocument/2006/relationships/image" Target="media/image23.wmf"/><Relationship Id="rId86" Type="http://schemas.openxmlformats.org/officeDocument/2006/relationships/image" Target="media/image28.png"/><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hyperlink" Target="consultantplus://offline/ref=313CF025B996E9BCE8068414C48A8305B544DC2603610628EA30D3F7763C71292C57E2DF9B9B6EU5c2F" TargetMode="External"/><Relationship Id="rId13" Type="http://schemas.openxmlformats.org/officeDocument/2006/relationships/hyperlink" Target="consultantplus://offline/ref=313CF025B996E9BCE8068414C48A8305BD42DA220A695B22E269DFF571U3c3F" TargetMode="External"/><Relationship Id="rId18" Type="http://schemas.openxmlformats.org/officeDocument/2006/relationships/hyperlink" Target="consultantplus://offline/ref=313CF025B996E9BCE8068414C48A8305BD42D82406685B22E269DFF571332E3E2B1EEEDE9B98685BUAcCF" TargetMode="External"/><Relationship Id="rId39" Type="http://schemas.openxmlformats.org/officeDocument/2006/relationships/hyperlink" Target="consultantplus://offline/ref=409637F09B05FF0AC8F14AD95D63298A612445343C1B27128953C15AV4c9F" TargetMode="External"/><Relationship Id="rId34" Type="http://schemas.openxmlformats.org/officeDocument/2006/relationships/hyperlink" Target="consultantplus://offline/ref=409637F09B05FF0AC8F14AD95D63298A61254A31361B27128953C15AV4c9F" TargetMode="External"/><Relationship Id="rId50" Type="http://schemas.openxmlformats.org/officeDocument/2006/relationships/hyperlink" Target="consultantplus://offline/ref=409637F09B05FF0AC8F14AD95D63298A612445303C1B27128953C15AV4c9F" TargetMode="External"/><Relationship Id="rId55" Type="http://schemas.openxmlformats.org/officeDocument/2006/relationships/hyperlink" Target="consultantplus://offline/ref=409637F09B05FF0AC8F14AD95D63298A61224C33371B27128953C15AV4c9F" TargetMode="External"/><Relationship Id="rId76" Type="http://schemas.openxmlformats.org/officeDocument/2006/relationships/image" Target="media/image18.wmf"/><Relationship Id="rId97" Type="http://schemas.openxmlformats.org/officeDocument/2006/relationships/image" Target="media/image39.png"/><Relationship Id="rId104" Type="http://schemas.openxmlformats.org/officeDocument/2006/relationships/image" Target="media/image46.png"/><Relationship Id="rId7" Type="http://schemas.openxmlformats.org/officeDocument/2006/relationships/hyperlink" Target="consultantplus://offline/ref=313CF025B996E9BCE8069B01C18A8305BD44DA2700610628EA30D3F7763C71292C57E2DF9B9868U5cFF" TargetMode="External"/><Relationship Id="rId71" Type="http://schemas.openxmlformats.org/officeDocument/2006/relationships/image" Target="media/image13.wmf"/><Relationship Id="rId92" Type="http://schemas.openxmlformats.org/officeDocument/2006/relationships/image" Target="media/image34.png"/><Relationship Id="rId2" Type="http://schemas.microsoft.com/office/2007/relationships/stylesWithEffects" Target="stylesWithEffects.xml"/><Relationship Id="rId29" Type="http://schemas.openxmlformats.org/officeDocument/2006/relationships/hyperlink" Target="consultantplus://offline/ref=409637F09B05FF0AC8F14AD95D63298A66204B373E462D1AD05FC3V5cDF" TargetMode="External"/><Relationship Id="rId24" Type="http://schemas.openxmlformats.org/officeDocument/2006/relationships/hyperlink" Target="consultantplus://offline/ref=313CF025B996E9BCE8069B01C18A8305BD45DB2C0A610628EA30D3F7U7c6F" TargetMode="External"/><Relationship Id="rId40" Type="http://schemas.openxmlformats.org/officeDocument/2006/relationships/hyperlink" Target="consultantplus://offline/ref=409637F09B05FF0AC8F14AD95D63298A61244A333C1B27128953C15AV4c9F" TargetMode="External"/><Relationship Id="rId45" Type="http://schemas.openxmlformats.org/officeDocument/2006/relationships/hyperlink" Target="consultantplus://offline/ref=409637F09B05FF0AC8F14AD95D63298A61244532331B27128953C15AV4c9F" TargetMode="External"/><Relationship Id="rId66" Type="http://schemas.openxmlformats.org/officeDocument/2006/relationships/image" Target="media/image8.wmf"/><Relationship Id="rId87" Type="http://schemas.openxmlformats.org/officeDocument/2006/relationships/image" Target="media/image29.png"/><Relationship Id="rId61" Type="http://schemas.openxmlformats.org/officeDocument/2006/relationships/image" Target="media/image3.wmf"/><Relationship Id="rId82" Type="http://schemas.openxmlformats.org/officeDocument/2006/relationships/image" Target="media/image24.wmf"/><Relationship Id="rId19" Type="http://schemas.openxmlformats.org/officeDocument/2006/relationships/hyperlink" Target="consultantplus://offline/ref=313CF025B996E9BCE8069B01C18A8305BD43DC2200610628EA30D3F7U7c6F" TargetMode="External"/><Relationship Id="rId14" Type="http://schemas.openxmlformats.org/officeDocument/2006/relationships/hyperlink" Target="consultantplus://offline/ref=313CF025B996E9BCE8069B01C18A8305BD42D3230A610628EA30D3F7U7c6F" TargetMode="External"/><Relationship Id="rId30" Type="http://schemas.openxmlformats.org/officeDocument/2006/relationships/hyperlink" Target="consultantplus://offline/ref=409637F09B05FF0AC8F155CC5863298A69224A35351B27128953C15AV4c9F" TargetMode="External"/><Relationship Id="rId35" Type="http://schemas.openxmlformats.org/officeDocument/2006/relationships/hyperlink" Target="consultantplus://offline/ref=409637F09B05FF0AC8F14AD95D63298A61244A3F351B27128953C15AV4c9F" TargetMode="External"/><Relationship Id="rId56" Type="http://schemas.openxmlformats.org/officeDocument/2006/relationships/hyperlink" Target="consultantplus://offline/ref=409637F09B05FF0AC8F14AD95D63298A61224F35351B27128953C15AV4c9F" TargetMode="External"/><Relationship Id="rId77" Type="http://schemas.openxmlformats.org/officeDocument/2006/relationships/image" Target="media/image19.wmf"/><Relationship Id="rId100" Type="http://schemas.openxmlformats.org/officeDocument/2006/relationships/image" Target="media/image42.png"/><Relationship Id="rId105" Type="http://schemas.openxmlformats.org/officeDocument/2006/relationships/image" Target="media/image47.png"/><Relationship Id="rId8" Type="http://schemas.openxmlformats.org/officeDocument/2006/relationships/hyperlink" Target="consultantplus://offline/ref=313CF025B996E9BCE8069B01C18A8305BD40DF2F55360479BF3EUDc6F" TargetMode="External"/><Relationship Id="rId51" Type="http://schemas.openxmlformats.org/officeDocument/2006/relationships/hyperlink" Target="consultantplus://offline/ref=409637F09B05FF0AC8F14AD95D63298A61244A333C1B27128953C15AV4c9F" TargetMode="External"/><Relationship Id="rId72" Type="http://schemas.openxmlformats.org/officeDocument/2006/relationships/image" Target="media/image14.wmf"/><Relationship Id="rId93" Type="http://schemas.openxmlformats.org/officeDocument/2006/relationships/image" Target="media/image35.png"/><Relationship Id="rId98" Type="http://schemas.openxmlformats.org/officeDocument/2006/relationships/image" Target="media/image40.png"/><Relationship Id="rId3" Type="http://schemas.openxmlformats.org/officeDocument/2006/relationships/settings" Target="settings.xml"/><Relationship Id="rId25" Type="http://schemas.openxmlformats.org/officeDocument/2006/relationships/hyperlink" Target="consultantplus://offline/ref=313CF025B996E9BCE8069B01C18A8305BD45DB2C0A610628EA30D3F7U7c6F" TargetMode="External"/><Relationship Id="rId46" Type="http://schemas.openxmlformats.org/officeDocument/2006/relationships/hyperlink" Target="consultantplus://offline/ref=409637F09B05FF0AC8F14AD95D63298A61234D3F3C1B27128953C15AV4c9F" TargetMode="External"/><Relationship Id="rId67" Type="http://schemas.openxmlformats.org/officeDocument/2006/relationships/image" Target="media/image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20609</Words>
  <Characters>117472</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В. Исаченко</dc:creator>
  <cp:lastModifiedBy>Оксана В. Исаченко</cp:lastModifiedBy>
  <cp:revision>3</cp:revision>
  <cp:lastPrinted>2012-10-29T08:12:00Z</cp:lastPrinted>
  <dcterms:created xsi:type="dcterms:W3CDTF">2012-10-26T05:28:00Z</dcterms:created>
  <dcterms:modified xsi:type="dcterms:W3CDTF">2012-10-29T08:12:00Z</dcterms:modified>
</cp:coreProperties>
</file>