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Управление социальной политики Министерства социальной политики Свердловской области по </w:t>
      </w:r>
      <w:proofErr w:type="spellStart"/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Богдановичскому</w:t>
      </w:r>
      <w:proofErr w:type="spellEnd"/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району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по </w:t>
      </w:r>
      <w:proofErr w:type="spellStart"/>
      <w:r w:rsidR="009664AB" w:rsidRPr="009664AB">
        <w:rPr>
          <w:rFonts w:ascii="Times New Roman" w:hAnsi="Times New Roman" w:cs="Times New Roman"/>
          <w:sz w:val="28"/>
          <w:szCs w:val="28"/>
        </w:rPr>
        <w:t>Богдановичскому</w:t>
      </w:r>
      <w:proofErr w:type="spellEnd"/>
      <w:r w:rsidR="009664AB" w:rsidRPr="009664AB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</w:t>
      </w:r>
      <w:r w:rsidR="009664AB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3</cp:revision>
  <cp:lastPrinted>2017-11-17T10:20:00Z</cp:lastPrinted>
  <dcterms:created xsi:type="dcterms:W3CDTF">2018-07-30T12:40:00Z</dcterms:created>
  <dcterms:modified xsi:type="dcterms:W3CDTF">2018-07-30T12:42:00Z</dcterms:modified>
</cp:coreProperties>
</file>