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ED" w:rsidRDefault="00AF1EED" w:rsidP="00AF1EED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 руководителя (директора)</w:t>
      </w: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Бородиной  Елены Михайловны</w:t>
      </w: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выполнении ключевых показателей эффективности деятельности организации </w:t>
      </w: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ГАУ «Комплексный центр социального  обслуживания населения города Кушвы»</w:t>
      </w: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1 квартал 2018 года </w:t>
      </w: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1. Общие сведения</w:t>
      </w: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103"/>
      </w:tblGrid>
      <w:tr w:rsidR="00AF1EED" w:rsidTr="00AF1E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 социального  обслуживания  населения  города Кушвы»</w:t>
            </w:r>
          </w:p>
        </w:tc>
      </w:tr>
      <w:tr w:rsidR="00AF1EED" w:rsidTr="00AF1E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соответствии с которым создана организация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D" w:rsidRDefault="00AF1EED" w:rsidP="005B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Постановление Правитель</w:t>
            </w:r>
            <w:r w:rsidR="005B29CD">
              <w:rPr>
                <w:rFonts w:ascii="Times New Roman" w:hAnsi="Times New Roman" w:cs="Times New Roman"/>
                <w:sz w:val="24"/>
                <w:szCs w:val="24"/>
              </w:rPr>
              <w:t>ства Свердловской области  от 12.10.</w:t>
            </w:r>
            <w:r w:rsidR="005B29CD" w:rsidRPr="005B29CD">
              <w:rPr>
                <w:rFonts w:ascii="Times New Roman" w:hAnsi="Times New Roman" w:cs="Times New Roman"/>
                <w:sz w:val="24"/>
                <w:szCs w:val="24"/>
              </w:rPr>
              <w:t>2017г № 734</w:t>
            </w:r>
            <w:r w:rsidRPr="005B29CD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  <w:r w:rsidR="005B29CD" w:rsidRPr="005B29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29CD" w:rsidRPr="005B29CD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 в отдельные правовые акты Правительства Свердловской области в сфере социального обслуживания»</w:t>
            </w:r>
            <w:r w:rsidR="005B29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EED" w:rsidRPr="005B29CD" w:rsidRDefault="005B29CD" w:rsidP="005B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F1EED">
              <w:rPr>
                <w:rFonts w:ascii="Times New Roman" w:hAnsi="Times New Roman" w:cs="Times New Roman"/>
                <w:sz w:val="24"/>
                <w:szCs w:val="24"/>
              </w:rPr>
              <w:t>Приказ МСП СО  от 12.10.2017 г. №525 «О переименовании  государственного  автономного  учреждения  социального обслуживания  населения  Свердловской области «Комплексный центр  социального  обслуживания  населения  города Кушвы»  и утверждение Устава государственного автономного  учреждения социального обслуживания Свердловской области «Комплексный центр  социального  обслуживания  населения  города Кушвы»</w:t>
            </w:r>
          </w:p>
        </w:tc>
      </w:tr>
      <w:tr w:rsidR="00AF1EED" w:rsidTr="00AF1E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</w:t>
            </w:r>
            <w:r w:rsidR="00AF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Кушва, улица Красноармейская, дом 12</w:t>
            </w:r>
          </w:p>
        </w:tc>
      </w:tr>
      <w:tr w:rsidR="00AF1EED" w:rsidTr="00AF1E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 w:rsidP="005B29CD">
            <w:pPr>
              <w:pStyle w:val="msonormalbullet2gif"/>
              <w:tabs>
                <w:tab w:val="left" w:pos="1276"/>
              </w:tabs>
              <w:spacing w:before="0" w:beforeAutospacing="0" w:after="0" w:afterAutospacing="0"/>
              <w:contextualSpacing/>
              <w:jc w:val="both"/>
            </w:pPr>
            <w:r>
              <w:t xml:space="preserve">  </w:t>
            </w:r>
            <w:r>
              <w:rPr>
                <w:color w:val="000000"/>
              </w:rPr>
              <w:t xml:space="preserve">Предоставление социального обслуживания в </w:t>
            </w:r>
            <w:proofErr w:type="spellStart"/>
            <w:r>
              <w:rPr>
                <w:color w:val="000000"/>
              </w:rPr>
              <w:t>полустационарной</w:t>
            </w:r>
            <w:proofErr w:type="spellEnd"/>
            <w:r>
              <w:rPr>
                <w:color w:val="000000"/>
              </w:rPr>
              <w:t xml:space="preserve">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AF1EED" w:rsidRDefault="00AF1EED" w:rsidP="005B29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социального обслуживания в форме  на дому включая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AF1EED" w:rsidRDefault="00AF1EED">
            <w:pPr>
              <w:pStyle w:val="a4"/>
              <w:tabs>
                <w:tab w:val="left" w:pos="1276"/>
              </w:tabs>
              <w:spacing w:line="276" w:lineRule="auto"/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AF1EED" w:rsidTr="00AF1E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руководителя (директора)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Елена Михайловна</w:t>
            </w:r>
          </w:p>
        </w:tc>
      </w:tr>
      <w:tr w:rsidR="00AF1EED" w:rsidTr="00AF1E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договора:</w:t>
            </w:r>
          </w:p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8F" w:rsidRDefault="00AF0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8F" w:rsidRDefault="00AF1EED" w:rsidP="00AF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02.12.2014 </w:t>
            </w:r>
            <w:r w:rsidR="00AF0C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1EED" w:rsidRDefault="00AF1EED" w:rsidP="00AF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г.</w:t>
            </w:r>
          </w:p>
        </w:tc>
      </w:tr>
    </w:tbl>
    <w:p w:rsidR="00AF1EED" w:rsidRDefault="00AF1EED" w:rsidP="00A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7DE" w:rsidRPr="00B247DE" w:rsidRDefault="00B247DE" w:rsidP="00B24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7DE">
        <w:rPr>
          <w:rFonts w:ascii="Times New Roman" w:hAnsi="Times New Roman"/>
          <w:b/>
          <w:sz w:val="24"/>
          <w:szCs w:val="24"/>
        </w:rPr>
        <w:t>Описание видов деятельности</w:t>
      </w:r>
      <w:r>
        <w:rPr>
          <w:rFonts w:ascii="Times New Roman" w:hAnsi="Times New Roman"/>
          <w:b/>
          <w:sz w:val="24"/>
          <w:szCs w:val="24"/>
        </w:rPr>
        <w:t xml:space="preserve"> в учреждении</w:t>
      </w:r>
      <w:r w:rsidRPr="00B247DE">
        <w:rPr>
          <w:rFonts w:ascii="Times New Roman" w:hAnsi="Times New Roman"/>
          <w:b/>
          <w:sz w:val="24"/>
          <w:szCs w:val="24"/>
        </w:rPr>
        <w:t>, количество  получателей социальных услуг  на  отче</w:t>
      </w:r>
      <w:r>
        <w:rPr>
          <w:rFonts w:ascii="Times New Roman" w:hAnsi="Times New Roman"/>
          <w:b/>
          <w:sz w:val="24"/>
          <w:szCs w:val="24"/>
        </w:rPr>
        <w:t>тную дату</w:t>
      </w:r>
      <w:r w:rsidR="00A96FCF">
        <w:rPr>
          <w:rFonts w:ascii="Times New Roman" w:hAnsi="Times New Roman"/>
          <w:b/>
          <w:sz w:val="24"/>
          <w:szCs w:val="24"/>
        </w:rPr>
        <w:t>, задач</w:t>
      </w:r>
      <w:r w:rsidRPr="00B247DE">
        <w:rPr>
          <w:rFonts w:ascii="Times New Roman" w:hAnsi="Times New Roman"/>
          <w:b/>
          <w:sz w:val="24"/>
          <w:szCs w:val="24"/>
        </w:rPr>
        <w:t>, поставленных в отчетном периоде, и  их исполнении</w:t>
      </w:r>
      <w:r w:rsidRPr="00B247DE">
        <w:rPr>
          <w:rFonts w:ascii="Times New Roman" w:hAnsi="Times New Roman"/>
          <w:sz w:val="24"/>
          <w:szCs w:val="24"/>
        </w:rPr>
        <w:t xml:space="preserve">. </w:t>
      </w:r>
    </w:p>
    <w:p w:rsidR="00B247DE" w:rsidRPr="00B247DE" w:rsidRDefault="00B247DE" w:rsidP="00B247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47DE">
        <w:rPr>
          <w:rFonts w:ascii="Times New Roman" w:hAnsi="Times New Roman"/>
          <w:b/>
          <w:sz w:val="24"/>
          <w:szCs w:val="24"/>
        </w:rPr>
        <w:t>I . Выполнение основных задач, пос</w:t>
      </w:r>
      <w:r>
        <w:rPr>
          <w:rFonts w:ascii="Times New Roman" w:hAnsi="Times New Roman"/>
          <w:b/>
          <w:sz w:val="24"/>
          <w:szCs w:val="24"/>
        </w:rPr>
        <w:t>тавленны</w:t>
      </w:r>
      <w:r w:rsidRPr="00B247DE">
        <w:rPr>
          <w:rFonts w:ascii="Times New Roman" w:hAnsi="Times New Roman"/>
          <w:b/>
          <w:sz w:val="24"/>
          <w:szCs w:val="24"/>
        </w:rPr>
        <w:t xml:space="preserve">х учреждению в отчетном периоде </w:t>
      </w:r>
    </w:p>
    <w:p w:rsidR="00B247DE" w:rsidRPr="00B247DE" w:rsidRDefault="00406885" w:rsidP="0078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47DE" w:rsidRPr="00B247DE">
        <w:rPr>
          <w:rFonts w:ascii="Times New Roman" w:hAnsi="Times New Roman"/>
          <w:sz w:val="24"/>
          <w:szCs w:val="24"/>
        </w:rPr>
        <w:t>Предоставление социального обслуживания в соответствии с требовани</w:t>
      </w:r>
      <w:r w:rsidR="00CE2D0C">
        <w:rPr>
          <w:rFonts w:ascii="Times New Roman" w:hAnsi="Times New Roman"/>
          <w:sz w:val="24"/>
          <w:szCs w:val="24"/>
        </w:rPr>
        <w:t xml:space="preserve">ями и в порядке, установленным </w:t>
      </w:r>
      <w:r w:rsidR="00B247DE" w:rsidRPr="00B247DE">
        <w:rPr>
          <w:rFonts w:ascii="Times New Roman" w:hAnsi="Times New Roman"/>
          <w:sz w:val="24"/>
          <w:szCs w:val="24"/>
        </w:rPr>
        <w:t xml:space="preserve"> Федеральным зако</w:t>
      </w:r>
      <w:r w:rsidR="00CE2D0C">
        <w:rPr>
          <w:rFonts w:ascii="Times New Roman" w:hAnsi="Times New Roman"/>
          <w:sz w:val="24"/>
          <w:szCs w:val="24"/>
        </w:rPr>
        <w:t>ном от 28.12.2013</w:t>
      </w:r>
      <w:r w:rsidR="007825C8">
        <w:rPr>
          <w:rFonts w:ascii="Times New Roman" w:hAnsi="Times New Roman"/>
          <w:sz w:val="24"/>
          <w:szCs w:val="24"/>
        </w:rPr>
        <w:t xml:space="preserve"> г . № 442-ФЗ </w:t>
      </w:r>
      <w:r w:rsidR="00B247DE" w:rsidRPr="00B247DE">
        <w:rPr>
          <w:rFonts w:ascii="Times New Roman" w:hAnsi="Times New Roman"/>
          <w:sz w:val="24"/>
          <w:szCs w:val="24"/>
        </w:rPr>
        <w:t xml:space="preserve"> </w:t>
      </w:r>
      <w:r w:rsidR="00CE2D0C">
        <w:rPr>
          <w:rFonts w:ascii="Times New Roman" w:hAnsi="Times New Roman"/>
          <w:sz w:val="24"/>
          <w:szCs w:val="24"/>
        </w:rPr>
        <w:t xml:space="preserve"> «Об основах  социального обслуживания  граждан  в  Российской  Федерации».</w:t>
      </w:r>
    </w:p>
    <w:p w:rsidR="00B247DE" w:rsidRPr="00B247DE" w:rsidRDefault="00B247DE" w:rsidP="0078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7DE">
        <w:rPr>
          <w:rFonts w:ascii="Times New Roman" w:hAnsi="Times New Roman"/>
          <w:sz w:val="24"/>
          <w:szCs w:val="24"/>
        </w:rPr>
        <w:t>2. Повышение качества</w:t>
      </w:r>
      <w:r w:rsidR="007825C8">
        <w:rPr>
          <w:rFonts w:ascii="Times New Roman" w:hAnsi="Times New Roman"/>
          <w:sz w:val="24"/>
          <w:szCs w:val="24"/>
        </w:rPr>
        <w:t xml:space="preserve"> </w:t>
      </w:r>
      <w:r w:rsidRPr="00B247DE">
        <w:rPr>
          <w:rFonts w:ascii="Times New Roman" w:hAnsi="Times New Roman"/>
          <w:sz w:val="24"/>
          <w:szCs w:val="24"/>
        </w:rPr>
        <w:t xml:space="preserve"> и </w:t>
      </w:r>
      <w:r w:rsidR="007825C8">
        <w:rPr>
          <w:rFonts w:ascii="Times New Roman" w:hAnsi="Times New Roman"/>
          <w:sz w:val="24"/>
          <w:szCs w:val="24"/>
        </w:rPr>
        <w:t xml:space="preserve"> </w:t>
      </w:r>
      <w:r w:rsidRPr="00B247DE">
        <w:rPr>
          <w:rFonts w:ascii="Times New Roman" w:hAnsi="Times New Roman"/>
          <w:sz w:val="24"/>
          <w:szCs w:val="24"/>
        </w:rPr>
        <w:t>д</w:t>
      </w:r>
      <w:r w:rsidR="007825C8">
        <w:rPr>
          <w:rFonts w:ascii="Times New Roman" w:hAnsi="Times New Roman"/>
          <w:sz w:val="24"/>
          <w:szCs w:val="24"/>
        </w:rPr>
        <w:t>оступност</w:t>
      </w:r>
      <w:r w:rsidRPr="00B247DE">
        <w:rPr>
          <w:rFonts w:ascii="Times New Roman" w:hAnsi="Times New Roman"/>
          <w:sz w:val="24"/>
          <w:szCs w:val="24"/>
        </w:rPr>
        <w:t>и</w:t>
      </w:r>
      <w:r w:rsidR="007825C8">
        <w:rPr>
          <w:rFonts w:ascii="Times New Roman" w:hAnsi="Times New Roman"/>
          <w:sz w:val="24"/>
          <w:szCs w:val="24"/>
        </w:rPr>
        <w:t xml:space="preserve"> </w:t>
      </w:r>
      <w:r w:rsidRPr="00B247DE">
        <w:rPr>
          <w:rFonts w:ascii="Times New Roman" w:hAnsi="Times New Roman"/>
          <w:sz w:val="24"/>
          <w:szCs w:val="24"/>
        </w:rPr>
        <w:t xml:space="preserve"> социального</w:t>
      </w:r>
      <w:r w:rsidR="007825C8">
        <w:rPr>
          <w:rFonts w:ascii="Times New Roman" w:hAnsi="Times New Roman"/>
          <w:sz w:val="24"/>
          <w:szCs w:val="24"/>
        </w:rPr>
        <w:t xml:space="preserve">  обслуживания</w:t>
      </w:r>
      <w:r w:rsidR="00CE2D0C">
        <w:rPr>
          <w:rFonts w:ascii="Times New Roman" w:hAnsi="Times New Roman"/>
          <w:sz w:val="24"/>
          <w:szCs w:val="24"/>
        </w:rPr>
        <w:t>.</w:t>
      </w:r>
    </w:p>
    <w:p w:rsidR="00B247DE" w:rsidRPr="00B247DE" w:rsidRDefault="00B247DE" w:rsidP="0078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7DE">
        <w:rPr>
          <w:rFonts w:ascii="Times New Roman" w:hAnsi="Times New Roman"/>
          <w:sz w:val="24"/>
          <w:szCs w:val="24"/>
        </w:rPr>
        <w:t xml:space="preserve">3. Выполнение мероприятий и достижение целевых показателей, установленных </w:t>
      </w:r>
      <w:r w:rsidR="00406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7DE">
        <w:rPr>
          <w:rFonts w:ascii="Times New Roman" w:hAnsi="Times New Roman"/>
          <w:sz w:val="24"/>
          <w:szCs w:val="24"/>
        </w:rPr>
        <w:t>во</w:t>
      </w:r>
      <w:proofErr w:type="gramEnd"/>
      <w:r w:rsidRPr="00B247DE">
        <w:rPr>
          <w:rFonts w:ascii="Times New Roman" w:hAnsi="Times New Roman"/>
          <w:sz w:val="24"/>
          <w:szCs w:val="24"/>
        </w:rPr>
        <w:t xml:space="preserve"> </w:t>
      </w:r>
    </w:p>
    <w:p w:rsidR="00B247DE" w:rsidRDefault="00B247DE" w:rsidP="0078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7DE">
        <w:rPr>
          <w:rFonts w:ascii="Times New Roman" w:hAnsi="Times New Roman"/>
          <w:sz w:val="24"/>
          <w:szCs w:val="24"/>
        </w:rPr>
        <w:t xml:space="preserve">исполнение </w:t>
      </w:r>
      <w:r w:rsidR="007825C8">
        <w:rPr>
          <w:rFonts w:ascii="Times New Roman" w:hAnsi="Times New Roman"/>
          <w:sz w:val="24"/>
          <w:szCs w:val="24"/>
        </w:rPr>
        <w:t xml:space="preserve"> </w:t>
      </w:r>
      <w:r w:rsidRPr="00B247DE">
        <w:rPr>
          <w:rFonts w:ascii="Times New Roman" w:hAnsi="Times New Roman"/>
          <w:sz w:val="24"/>
          <w:szCs w:val="24"/>
        </w:rPr>
        <w:t xml:space="preserve">указов </w:t>
      </w:r>
      <w:r w:rsidR="007825C8">
        <w:rPr>
          <w:rFonts w:ascii="Times New Roman" w:hAnsi="Times New Roman"/>
          <w:sz w:val="24"/>
          <w:szCs w:val="24"/>
        </w:rPr>
        <w:t xml:space="preserve"> Президента в «дорожной карте»</w:t>
      </w:r>
      <w:r w:rsidR="00CE2D0C">
        <w:rPr>
          <w:rFonts w:ascii="Times New Roman" w:hAnsi="Times New Roman"/>
          <w:sz w:val="24"/>
          <w:szCs w:val="24"/>
        </w:rPr>
        <w:t>.</w:t>
      </w:r>
    </w:p>
    <w:p w:rsidR="00B247DE" w:rsidRPr="00402BD6" w:rsidRDefault="00FF1685" w:rsidP="007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П</w:t>
      </w:r>
      <w:r w:rsidR="007825C8">
        <w:rPr>
          <w:rFonts w:ascii="Times New Roman" w:hAnsi="Times New Roman"/>
          <w:sz w:val="24"/>
          <w:szCs w:val="24"/>
        </w:rPr>
        <w:t>овышени</w:t>
      </w:r>
      <w:r w:rsidR="00B247DE" w:rsidRPr="00B247DE">
        <w:rPr>
          <w:rFonts w:ascii="Times New Roman" w:hAnsi="Times New Roman"/>
          <w:sz w:val="24"/>
          <w:szCs w:val="24"/>
        </w:rPr>
        <w:t>е квалификации и престижа работников учреждений социального обслуживания, постепенная</w:t>
      </w:r>
      <w:r w:rsidR="00CA53CB">
        <w:rPr>
          <w:rFonts w:ascii="Times New Roman" w:hAnsi="Times New Roman"/>
          <w:sz w:val="24"/>
          <w:szCs w:val="24"/>
        </w:rPr>
        <w:t xml:space="preserve"> </w:t>
      </w:r>
      <w:r w:rsidR="00B247DE" w:rsidRPr="00B247DE">
        <w:rPr>
          <w:rFonts w:ascii="Times New Roman" w:hAnsi="Times New Roman"/>
          <w:sz w:val="24"/>
          <w:szCs w:val="24"/>
        </w:rPr>
        <w:t xml:space="preserve"> реализация </w:t>
      </w:r>
      <w:r w:rsidR="00402BD6">
        <w:rPr>
          <w:rFonts w:ascii="Times New Roman" w:hAnsi="Times New Roman" w:cs="Times New Roman"/>
          <w:sz w:val="24"/>
          <w:szCs w:val="24"/>
        </w:rPr>
        <w:t xml:space="preserve"> </w:t>
      </w:r>
      <w:r w:rsidR="007825C8">
        <w:rPr>
          <w:rFonts w:ascii="Times New Roman" w:hAnsi="Times New Roman"/>
          <w:sz w:val="24"/>
          <w:szCs w:val="24"/>
        </w:rPr>
        <w:t>требований, предъявляемы</w:t>
      </w:r>
      <w:r w:rsidR="00B247DE" w:rsidRPr="00B247DE">
        <w:rPr>
          <w:rFonts w:ascii="Times New Roman" w:hAnsi="Times New Roman"/>
          <w:sz w:val="24"/>
          <w:szCs w:val="24"/>
        </w:rPr>
        <w:t>х</w:t>
      </w:r>
      <w:r w:rsidR="007825C8">
        <w:rPr>
          <w:rFonts w:ascii="Times New Roman" w:hAnsi="Times New Roman"/>
          <w:sz w:val="24"/>
          <w:szCs w:val="24"/>
        </w:rPr>
        <w:t xml:space="preserve">  профессиональным</w:t>
      </w:r>
      <w:r w:rsidR="00B247DE" w:rsidRPr="00B247DE">
        <w:rPr>
          <w:rFonts w:ascii="Times New Roman" w:hAnsi="Times New Roman"/>
          <w:sz w:val="24"/>
          <w:szCs w:val="24"/>
        </w:rPr>
        <w:t xml:space="preserve">и стандартами. </w:t>
      </w:r>
    </w:p>
    <w:p w:rsidR="00B247DE" w:rsidRDefault="007825C8" w:rsidP="007825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основных задач, поставленных учреждению в отчетном периоде, а такж</w:t>
      </w:r>
      <w:r w:rsidR="00B247DE" w:rsidRPr="00B247D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задач, определенны</w:t>
      </w:r>
      <w:r w:rsidR="00B247DE" w:rsidRPr="00B247DE">
        <w:rPr>
          <w:rFonts w:ascii="Times New Roman" w:hAnsi="Times New Roman"/>
          <w:sz w:val="24"/>
          <w:szCs w:val="24"/>
        </w:rPr>
        <w:t>х Уставом ГАУ «КЦ</w:t>
      </w:r>
      <w:r w:rsidR="00076C2F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Н  города Кушвы»</w:t>
      </w:r>
      <w:r w:rsidR="00B247DE" w:rsidRPr="00B247DE">
        <w:rPr>
          <w:rFonts w:ascii="Times New Roman" w:hAnsi="Times New Roman"/>
          <w:sz w:val="24"/>
          <w:szCs w:val="24"/>
        </w:rPr>
        <w:t xml:space="preserve"> отражено в тексте доклада.</w:t>
      </w:r>
    </w:p>
    <w:p w:rsidR="00B247DE" w:rsidRDefault="00B247DE" w:rsidP="0078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BD6" w:rsidRPr="00402BD6" w:rsidRDefault="00402BD6" w:rsidP="00402BD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2BD6">
        <w:rPr>
          <w:rFonts w:ascii="Times New Roman" w:hAnsi="Times New Roman"/>
          <w:b/>
          <w:sz w:val="24"/>
          <w:szCs w:val="24"/>
        </w:rPr>
        <w:t>II . ГАУ «КЦС</w:t>
      </w:r>
      <w:r w:rsidR="00A96FC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Н города Кушвы» </w:t>
      </w:r>
      <w:r w:rsidRPr="00402BD6">
        <w:rPr>
          <w:rFonts w:ascii="Times New Roman" w:hAnsi="Times New Roman"/>
          <w:b/>
          <w:sz w:val="24"/>
          <w:szCs w:val="24"/>
        </w:rPr>
        <w:t>осуществляет следующие</w:t>
      </w:r>
      <w:r>
        <w:rPr>
          <w:rFonts w:ascii="Times New Roman" w:hAnsi="Times New Roman"/>
          <w:b/>
          <w:sz w:val="24"/>
          <w:szCs w:val="24"/>
        </w:rPr>
        <w:t xml:space="preserve"> основные вид</w:t>
      </w:r>
      <w:r w:rsidRPr="00402BD6">
        <w:rPr>
          <w:rFonts w:ascii="Times New Roman" w:hAnsi="Times New Roman"/>
          <w:b/>
          <w:sz w:val="24"/>
          <w:szCs w:val="24"/>
        </w:rPr>
        <w:t>ы деятельности</w:t>
      </w:r>
      <w:proofErr w:type="gramStart"/>
      <w:r w:rsidRPr="00402BD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02BD6" w:rsidRPr="00402BD6" w:rsidRDefault="00402BD6" w:rsidP="00402B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BD6">
        <w:rPr>
          <w:rFonts w:ascii="Times New Roman" w:hAnsi="Times New Roman"/>
          <w:sz w:val="24"/>
          <w:szCs w:val="24"/>
        </w:rPr>
        <w:t>1. Предоставление социального</w:t>
      </w:r>
      <w:r>
        <w:rPr>
          <w:rFonts w:ascii="Times New Roman" w:hAnsi="Times New Roman"/>
          <w:sz w:val="24"/>
          <w:szCs w:val="24"/>
        </w:rPr>
        <w:t xml:space="preserve"> обслуживания в </w:t>
      </w:r>
      <w:r w:rsidR="004068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полустационарно</w:t>
      </w:r>
      <w:r w:rsidRPr="00402BD6">
        <w:rPr>
          <w:rFonts w:ascii="Times New Roman" w:hAnsi="Times New Roman"/>
          <w:sz w:val="24"/>
          <w:szCs w:val="24"/>
        </w:rPr>
        <w:t>й</w:t>
      </w:r>
      <w:proofErr w:type="spellEnd"/>
      <w:r w:rsidRPr="00402BD6">
        <w:rPr>
          <w:rFonts w:ascii="Times New Roman" w:hAnsi="Times New Roman"/>
          <w:sz w:val="24"/>
          <w:szCs w:val="24"/>
        </w:rPr>
        <w:t xml:space="preserve"> форме, включая оказание социально-бытовых услуг, социально-медицинских слуг, социально-психологических услуг, социально-педагогических услуг, социально-трудовых услуг, </w:t>
      </w:r>
    </w:p>
    <w:p w:rsidR="00402BD6" w:rsidRPr="00402BD6" w:rsidRDefault="00402BD6" w:rsidP="00402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D6">
        <w:rPr>
          <w:rFonts w:ascii="Times New Roman" w:hAnsi="Times New Roman"/>
          <w:sz w:val="24"/>
          <w:szCs w:val="24"/>
        </w:rPr>
        <w:t xml:space="preserve">социально-правовых услуг, услуг в целях повышения коммуникативного потенциала </w:t>
      </w:r>
    </w:p>
    <w:p w:rsidR="00402BD6" w:rsidRPr="00402BD6" w:rsidRDefault="00402BD6" w:rsidP="00402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D6">
        <w:rPr>
          <w:rFonts w:ascii="Times New Roman" w:hAnsi="Times New Roman"/>
          <w:sz w:val="24"/>
          <w:szCs w:val="24"/>
        </w:rPr>
        <w:t xml:space="preserve">получателей социальных услуг, имеющих ограничения жизнедеятельности, в том числе </w:t>
      </w:r>
    </w:p>
    <w:p w:rsidR="00406885" w:rsidRPr="00402BD6" w:rsidRDefault="00402BD6" w:rsidP="00402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детей-инвалидов, срочных  социальны</w:t>
      </w:r>
      <w:r w:rsidRPr="00402BD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BD6">
        <w:rPr>
          <w:rFonts w:ascii="Times New Roman" w:hAnsi="Times New Roman"/>
          <w:sz w:val="24"/>
          <w:szCs w:val="24"/>
        </w:rPr>
        <w:t xml:space="preserve"> услуг. </w:t>
      </w:r>
    </w:p>
    <w:p w:rsidR="00402BD6" w:rsidRPr="00402BD6" w:rsidRDefault="00402BD6" w:rsidP="00402B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BD6">
        <w:rPr>
          <w:rFonts w:ascii="Times New Roman" w:hAnsi="Times New Roman"/>
          <w:sz w:val="24"/>
          <w:szCs w:val="24"/>
        </w:rPr>
        <w:t>Полустационарную</w:t>
      </w:r>
      <w:proofErr w:type="spellEnd"/>
      <w:r w:rsidR="00B1786D">
        <w:rPr>
          <w:rFonts w:ascii="Times New Roman" w:hAnsi="Times New Roman"/>
          <w:sz w:val="24"/>
          <w:szCs w:val="24"/>
        </w:rPr>
        <w:t xml:space="preserve"> </w:t>
      </w:r>
      <w:r w:rsidRPr="00402BD6">
        <w:rPr>
          <w:rFonts w:ascii="Times New Roman" w:hAnsi="Times New Roman"/>
          <w:sz w:val="24"/>
          <w:szCs w:val="24"/>
        </w:rPr>
        <w:t xml:space="preserve"> форму</w:t>
      </w:r>
      <w:r w:rsidR="00B1786D">
        <w:rPr>
          <w:rFonts w:ascii="Times New Roman" w:hAnsi="Times New Roman"/>
          <w:sz w:val="24"/>
          <w:szCs w:val="24"/>
        </w:rPr>
        <w:t xml:space="preserve"> </w:t>
      </w:r>
      <w:r w:rsidRPr="00402BD6">
        <w:rPr>
          <w:rFonts w:ascii="Times New Roman" w:hAnsi="Times New Roman"/>
          <w:sz w:val="24"/>
          <w:szCs w:val="24"/>
        </w:rPr>
        <w:t xml:space="preserve"> обслуживания </w:t>
      </w:r>
      <w:r w:rsidR="00B1786D">
        <w:rPr>
          <w:rFonts w:ascii="Times New Roman" w:hAnsi="Times New Roman"/>
          <w:sz w:val="24"/>
          <w:szCs w:val="24"/>
        </w:rPr>
        <w:t xml:space="preserve"> </w:t>
      </w:r>
      <w:r w:rsidRPr="00402BD6">
        <w:rPr>
          <w:rFonts w:ascii="Times New Roman" w:hAnsi="Times New Roman"/>
          <w:sz w:val="24"/>
          <w:szCs w:val="24"/>
        </w:rPr>
        <w:t>предоставляют</w:t>
      </w:r>
      <w:r w:rsidR="00B1786D">
        <w:rPr>
          <w:rFonts w:ascii="Times New Roman" w:hAnsi="Times New Roman"/>
          <w:sz w:val="24"/>
          <w:szCs w:val="24"/>
        </w:rPr>
        <w:t xml:space="preserve"> </w:t>
      </w:r>
      <w:r w:rsidRPr="00402BD6">
        <w:rPr>
          <w:rFonts w:ascii="Times New Roman" w:hAnsi="Times New Roman"/>
          <w:sz w:val="24"/>
          <w:szCs w:val="24"/>
        </w:rPr>
        <w:t xml:space="preserve"> следующие</w:t>
      </w:r>
      <w:r w:rsidR="00B1786D">
        <w:rPr>
          <w:rFonts w:ascii="Times New Roman" w:hAnsi="Times New Roman"/>
          <w:sz w:val="24"/>
          <w:szCs w:val="24"/>
        </w:rPr>
        <w:t xml:space="preserve"> </w:t>
      </w:r>
      <w:r w:rsidRPr="00402BD6">
        <w:rPr>
          <w:rFonts w:ascii="Times New Roman" w:hAnsi="Times New Roman"/>
          <w:sz w:val="24"/>
          <w:szCs w:val="24"/>
        </w:rPr>
        <w:t xml:space="preserve"> отделения: </w:t>
      </w:r>
    </w:p>
    <w:p w:rsidR="00402BD6" w:rsidRDefault="00402BD6" w:rsidP="004068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BD6">
        <w:rPr>
          <w:rFonts w:ascii="Times New Roman" w:hAnsi="Times New Roman"/>
          <w:b/>
          <w:bCs/>
          <w:color w:val="000000"/>
          <w:sz w:val="24"/>
          <w:szCs w:val="24"/>
        </w:rPr>
        <w:t>Отделение  срочного социального обслуживания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 1 квартал </w:t>
      </w:r>
      <w:r w:rsidR="00CE2D0C">
        <w:rPr>
          <w:rFonts w:ascii="Times New Roman" w:hAnsi="Times New Roman"/>
          <w:bCs/>
          <w:color w:val="000000"/>
          <w:sz w:val="24"/>
          <w:szCs w:val="24"/>
        </w:rPr>
        <w:t xml:space="preserve"> 2018  года  предоставило   952 социальные  услуги  392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получателям</w:t>
      </w:r>
      <w:r w:rsidR="00FF1685">
        <w:rPr>
          <w:rFonts w:ascii="Times New Roman" w:hAnsi="Times New Roman"/>
          <w:bCs/>
          <w:color w:val="000000"/>
          <w:sz w:val="24"/>
          <w:szCs w:val="24"/>
        </w:rPr>
        <w:t xml:space="preserve"> социальных услуг. Направлено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для про</w:t>
      </w:r>
      <w:r w:rsidR="00AF0C8F">
        <w:rPr>
          <w:rFonts w:ascii="Times New Roman" w:hAnsi="Times New Roman"/>
          <w:bCs/>
          <w:color w:val="000000"/>
          <w:sz w:val="24"/>
          <w:szCs w:val="24"/>
        </w:rPr>
        <w:t xml:space="preserve">хождения  курса  реабилитации </w:t>
      </w:r>
      <w:r w:rsidR="00717671">
        <w:rPr>
          <w:rFonts w:ascii="Times New Roman" w:hAnsi="Times New Roman"/>
          <w:bCs/>
          <w:color w:val="000000"/>
          <w:sz w:val="24"/>
          <w:szCs w:val="24"/>
        </w:rPr>
        <w:t xml:space="preserve">61 </w:t>
      </w:r>
      <w:r w:rsidR="00AF0C8F">
        <w:rPr>
          <w:rFonts w:ascii="Times New Roman" w:hAnsi="Times New Roman"/>
          <w:bCs/>
          <w:color w:val="000000"/>
          <w:sz w:val="24"/>
          <w:szCs w:val="24"/>
        </w:rPr>
        <w:t xml:space="preserve">получатель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социальных услуг, из ни</w:t>
      </w:r>
      <w:r w:rsidR="00CE2D0C">
        <w:rPr>
          <w:rFonts w:ascii="Times New Roman" w:hAnsi="Times New Roman"/>
          <w:bCs/>
          <w:color w:val="000000"/>
          <w:sz w:val="24"/>
          <w:szCs w:val="24"/>
        </w:rPr>
        <w:t xml:space="preserve">х  </w:t>
      </w:r>
      <w:r w:rsidR="00717671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CE2D0C">
        <w:rPr>
          <w:rFonts w:ascii="Times New Roman" w:hAnsi="Times New Roman"/>
          <w:bCs/>
          <w:color w:val="000000"/>
          <w:sz w:val="24"/>
          <w:szCs w:val="24"/>
        </w:rPr>
        <w:t xml:space="preserve"> инвалидов.  Заключено  132</w:t>
      </w:r>
      <w:r w:rsidR="00AF0C8F">
        <w:rPr>
          <w:rFonts w:ascii="Times New Roman" w:hAnsi="Times New Roman"/>
          <w:bCs/>
          <w:color w:val="000000"/>
          <w:sz w:val="24"/>
          <w:szCs w:val="24"/>
        </w:rPr>
        <w:t xml:space="preserve"> договора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 получение  технических средств</w:t>
      </w:r>
      <w:r w:rsidR="00717671">
        <w:rPr>
          <w:rFonts w:ascii="Times New Roman" w:hAnsi="Times New Roman"/>
          <w:bCs/>
          <w:color w:val="000000"/>
          <w:sz w:val="24"/>
          <w:szCs w:val="24"/>
        </w:rPr>
        <w:t xml:space="preserve"> реабилитации  с  110</w:t>
      </w:r>
      <w:r w:rsidR="00CE2D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получателями социальных услуг. </w:t>
      </w:r>
    </w:p>
    <w:p w:rsidR="00402BD6" w:rsidRPr="00402BD6" w:rsidRDefault="00B1786D" w:rsidP="00B17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Отделение</w:t>
      </w:r>
      <w:r w:rsidR="00402BD6" w:rsidRPr="00402BD6">
        <w:rPr>
          <w:rFonts w:ascii="Times New Roman" w:hAnsi="Times New Roman"/>
          <w:b/>
          <w:color w:val="000000"/>
          <w:sz w:val="24"/>
          <w:szCs w:val="24"/>
        </w:rPr>
        <w:t xml:space="preserve">  участковая социальная  служба</w:t>
      </w:r>
      <w:r w:rsidR="00402BD6">
        <w:rPr>
          <w:rFonts w:ascii="Times New Roman" w:hAnsi="Times New Roman"/>
          <w:b/>
          <w:color w:val="000000"/>
          <w:sz w:val="24"/>
          <w:szCs w:val="24"/>
        </w:rPr>
        <w:t xml:space="preserve"> за</w:t>
      </w:r>
      <w:r w:rsidR="00402BD6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 xml:space="preserve"> квартал 2018 год  предоставило</w:t>
      </w:r>
      <w:r w:rsidR="00402B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671">
        <w:rPr>
          <w:rFonts w:ascii="Times New Roman" w:hAnsi="Times New Roman"/>
          <w:b/>
          <w:color w:val="000000"/>
          <w:sz w:val="24"/>
          <w:szCs w:val="24"/>
        </w:rPr>
        <w:t xml:space="preserve">254 </w:t>
      </w:r>
      <w:r w:rsidR="00717671">
        <w:rPr>
          <w:rFonts w:ascii="Times New Roman" w:hAnsi="Times New Roman"/>
          <w:color w:val="000000"/>
          <w:sz w:val="24"/>
          <w:szCs w:val="24"/>
        </w:rPr>
        <w:t>социальные услуги  46</w:t>
      </w:r>
      <w:r w:rsidR="00402BD6">
        <w:rPr>
          <w:rFonts w:ascii="Times New Roman" w:hAnsi="Times New Roman"/>
          <w:color w:val="000000"/>
          <w:sz w:val="24"/>
          <w:szCs w:val="24"/>
        </w:rPr>
        <w:t xml:space="preserve">  получателям социальных услуг</w:t>
      </w:r>
      <w:r w:rsidR="00EB3D68">
        <w:rPr>
          <w:rFonts w:ascii="Times New Roman" w:hAnsi="Times New Roman"/>
          <w:color w:val="000000"/>
          <w:sz w:val="24"/>
          <w:szCs w:val="24"/>
        </w:rPr>
        <w:t>.</w:t>
      </w:r>
    </w:p>
    <w:p w:rsidR="00B247DE" w:rsidRDefault="00B247DE" w:rsidP="00AF1E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786D" w:rsidRDefault="00B1786D" w:rsidP="00B17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Pr="00B1786D">
        <w:rPr>
          <w:rFonts w:ascii="Times New Roman" w:hAnsi="Times New Roman"/>
          <w:sz w:val="24"/>
          <w:szCs w:val="24"/>
        </w:rPr>
        <w:t>Предоставлени е</w:t>
      </w:r>
      <w:proofErr w:type="gramEnd"/>
      <w:r w:rsidRPr="00B17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социального обслуживания в форм</w:t>
      </w:r>
      <w:r w:rsidRPr="00B178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на дому, включа</w:t>
      </w:r>
      <w:r w:rsidRPr="00B1786D">
        <w:rPr>
          <w:rFonts w:ascii="Times New Roman" w:hAnsi="Times New Roman"/>
          <w:sz w:val="24"/>
          <w:szCs w:val="24"/>
        </w:rPr>
        <w:t>я оказание социально-быто</w:t>
      </w:r>
      <w:r>
        <w:rPr>
          <w:rFonts w:ascii="Times New Roman" w:hAnsi="Times New Roman"/>
          <w:sz w:val="24"/>
          <w:szCs w:val="24"/>
        </w:rPr>
        <w:t>вых услуг, социально-медицински</w:t>
      </w:r>
      <w:r w:rsidRPr="00B1786D">
        <w:rPr>
          <w:rFonts w:ascii="Times New Roman" w:hAnsi="Times New Roman"/>
          <w:sz w:val="24"/>
          <w:szCs w:val="24"/>
        </w:rPr>
        <w:t>х 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</w:t>
      </w:r>
      <w:r>
        <w:rPr>
          <w:rFonts w:ascii="Times New Roman" w:hAnsi="Times New Roman"/>
          <w:sz w:val="24"/>
          <w:szCs w:val="24"/>
        </w:rPr>
        <w:t xml:space="preserve"> жизнедеятельности, в том числе детей-инвалидов, срочных  социальны</w:t>
      </w:r>
      <w:r w:rsidRPr="00402BD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BD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.</w:t>
      </w:r>
    </w:p>
    <w:p w:rsidR="00B169A2" w:rsidRDefault="00B1786D" w:rsidP="00A24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86D">
        <w:rPr>
          <w:rFonts w:ascii="Times New Roman" w:hAnsi="Times New Roman"/>
          <w:sz w:val="24"/>
          <w:szCs w:val="24"/>
        </w:rPr>
        <w:lastRenderedPageBreak/>
        <w:t>Социальное обслуживание в</w:t>
      </w:r>
      <w:r w:rsidR="00B169A2">
        <w:rPr>
          <w:rFonts w:ascii="Times New Roman" w:hAnsi="Times New Roman"/>
          <w:sz w:val="24"/>
          <w:szCs w:val="24"/>
        </w:rPr>
        <w:t xml:space="preserve"> форме на дому предоставляют 7 отделений </w:t>
      </w:r>
      <w:r w:rsidRPr="00B1786D">
        <w:rPr>
          <w:rFonts w:ascii="Times New Roman" w:hAnsi="Times New Roman"/>
          <w:sz w:val="24"/>
          <w:szCs w:val="24"/>
        </w:rPr>
        <w:t xml:space="preserve">социального </w:t>
      </w:r>
      <w:r w:rsidR="00B169A2">
        <w:rPr>
          <w:rFonts w:ascii="Times New Roman" w:hAnsi="Times New Roman"/>
          <w:sz w:val="24"/>
          <w:szCs w:val="24"/>
        </w:rPr>
        <w:t>обслуживания на д</w:t>
      </w:r>
      <w:r w:rsidR="00717671">
        <w:rPr>
          <w:rFonts w:ascii="Times New Roman" w:hAnsi="Times New Roman"/>
          <w:sz w:val="24"/>
          <w:szCs w:val="24"/>
        </w:rPr>
        <w:t>ому</w:t>
      </w:r>
      <w:r w:rsidR="007F0E08">
        <w:rPr>
          <w:rFonts w:ascii="Times New Roman" w:hAnsi="Times New Roman"/>
          <w:sz w:val="24"/>
          <w:szCs w:val="24"/>
        </w:rPr>
        <w:t xml:space="preserve"> граждан пожилого возраста и инвалидов</w:t>
      </w:r>
      <w:r w:rsidR="00717671">
        <w:rPr>
          <w:rFonts w:ascii="Times New Roman" w:hAnsi="Times New Roman"/>
          <w:sz w:val="24"/>
          <w:szCs w:val="24"/>
        </w:rPr>
        <w:t xml:space="preserve">  в  </w:t>
      </w:r>
      <w:proofErr w:type="spellStart"/>
      <w:r w:rsidR="00717671">
        <w:rPr>
          <w:rFonts w:ascii="Times New Roman" w:hAnsi="Times New Roman"/>
          <w:sz w:val="24"/>
          <w:szCs w:val="24"/>
        </w:rPr>
        <w:t>Кушвинском</w:t>
      </w:r>
      <w:proofErr w:type="spellEnd"/>
      <w:r w:rsidR="00717671">
        <w:rPr>
          <w:rFonts w:ascii="Times New Roman" w:hAnsi="Times New Roman"/>
          <w:sz w:val="24"/>
          <w:szCs w:val="24"/>
        </w:rPr>
        <w:t xml:space="preserve">  городском округе  и городском округе Верхняя Тура.</w:t>
      </w:r>
      <w:proofErr w:type="gramStart"/>
      <w:r w:rsidR="00717671">
        <w:rPr>
          <w:rFonts w:ascii="Times New Roman" w:hAnsi="Times New Roman"/>
          <w:sz w:val="24"/>
          <w:szCs w:val="24"/>
        </w:rPr>
        <w:t xml:space="preserve"> </w:t>
      </w:r>
      <w:r w:rsidR="00B169A2">
        <w:rPr>
          <w:rFonts w:ascii="Times New Roman" w:hAnsi="Times New Roman"/>
          <w:sz w:val="24"/>
          <w:szCs w:val="24"/>
        </w:rPr>
        <w:t>.</w:t>
      </w:r>
      <w:proofErr w:type="gramEnd"/>
    </w:p>
    <w:p w:rsidR="00B169A2" w:rsidRDefault="00B169A2" w:rsidP="00B16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619FD">
        <w:rPr>
          <w:rFonts w:ascii="Times New Roman" w:hAnsi="Times New Roman"/>
          <w:color w:val="000000"/>
          <w:sz w:val="24"/>
          <w:szCs w:val="24"/>
        </w:rPr>
        <w:t xml:space="preserve">    За 1 квартал </w:t>
      </w:r>
      <w:r w:rsidR="00717671">
        <w:rPr>
          <w:rFonts w:ascii="Times New Roman" w:hAnsi="Times New Roman"/>
          <w:color w:val="000000"/>
          <w:sz w:val="24"/>
          <w:szCs w:val="24"/>
        </w:rPr>
        <w:t xml:space="preserve"> в ОСО на дому</w:t>
      </w:r>
      <w:r w:rsidR="00C619FD">
        <w:rPr>
          <w:rFonts w:ascii="Times New Roman" w:hAnsi="Times New Roman"/>
          <w:color w:val="000000"/>
          <w:sz w:val="24"/>
          <w:szCs w:val="24"/>
        </w:rPr>
        <w:t xml:space="preserve"> граждан пожилого возраста и инвалидов  обслужено  79</w:t>
      </w:r>
      <w:r w:rsidR="00717671">
        <w:rPr>
          <w:rFonts w:ascii="Times New Roman" w:hAnsi="Times New Roman"/>
          <w:color w:val="000000"/>
          <w:sz w:val="24"/>
          <w:szCs w:val="24"/>
        </w:rPr>
        <w:t>1 получатель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социальных услуг, к</w:t>
      </w:r>
      <w:r w:rsidR="00717671">
        <w:rPr>
          <w:rFonts w:ascii="Times New Roman" w:hAnsi="Times New Roman"/>
          <w:color w:val="000000"/>
          <w:sz w:val="24"/>
          <w:szCs w:val="24"/>
        </w:rPr>
        <w:t xml:space="preserve">оторым   предоставлено </w:t>
      </w:r>
      <w:r w:rsidR="00824C17">
        <w:rPr>
          <w:rFonts w:ascii="Times New Roman" w:hAnsi="Times New Roman"/>
          <w:color w:val="000000"/>
          <w:sz w:val="24"/>
          <w:szCs w:val="24"/>
        </w:rPr>
        <w:t xml:space="preserve">  62767</w:t>
      </w:r>
      <w:r w:rsidR="000902C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социальные  услуги.</w:t>
      </w:r>
    </w:p>
    <w:p w:rsidR="00B169A2" w:rsidRDefault="00B169A2" w:rsidP="00B16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отчетный период  привлечено</w:t>
      </w:r>
      <w:r>
        <w:rPr>
          <w:rFonts w:ascii="Times New Roman" w:hAnsi="Times New Roman"/>
          <w:color w:val="1E1E1E"/>
          <w:sz w:val="24"/>
          <w:szCs w:val="24"/>
        </w:rPr>
        <w:t xml:space="preserve"> денежных средств, полученных от приносящей </w:t>
      </w:r>
      <w:r w:rsidR="007F0E08">
        <w:rPr>
          <w:rFonts w:ascii="Times New Roman" w:hAnsi="Times New Roman"/>
          <w:color w:val="1E1E1E"/>
          <w:sz w:val="24"/>
          <w:szCs w:val="24"/>
        </w:rPr>
        <w:t>доход деятельности -  309507,12</w:t>
      </w:r>
      <w:r>
        <w:rPr>
          <w:rFonts w:ascii="Times New Roman" w:hAnsi="Times New Roman"/>
          <w:color w:val="1E1E1E"/>
          <w:sz w:val="24"/>
          <w:szCs w:val="24"/>
        </w:rPr>
        <w:t xml:space="preserve">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EED" w:rsidRDefault="00B65BB1" w:rsidP="00EB33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B33C8">
        <w:rPr>
          <w:rFonts w:ascii="Times New Roman" w:hAnsi="Times New Roman"/>
          <w:sz w:val="24"/>
          <w:szCs w:val="24"/>
        </w:rPr>
        <w:t xml:space="preserve">3. </w:t>
      </w:r>
      <w:r w:rsidR="00AF1EED">
        <w:rPr>
          <w:rFonts w:ascii="Times New Roman" w:hAnsi="Times New Roman" w:cs="Times New Roman"/>
          <w:b/>
          <w:sz w:val="24"/>
          <w:szCs w:val="24"/>
        </w:rPr>
        <w:t>Профилактика обстоятельств, обуславливающих нуждаемость в социальном обслуживании</w:t>
      </w:r>
    </w:p>
    <w:p w:rsidR="00AF1EED" w:rsidRDefault="00AF1EED" w:rsidP="00AF1E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отделении  п</w:t>
      </w:r>
      <w:r w:rsidR="005B29CD">
        <w:rPr>
          <w:rFonts w:ascii="Times New Roman" w:hAnsi="Times New Roman"/>
          <w:bCs/>
          <w:sz w:val="24"/>
          <w:szCs w:val="24"/>
        </w:rPr>
        <w:t xml:space="preserve">рофилактики безнадзорности несовершеннолетних </w:t>
      </w:r>
      <w:r w:rsidR="005B29CD">
        <w:rPr>
          <w:rFonts w:ascii="Times New Roman" w:hAnsi="Times New Roman"/>
          <w:sz w:val="24"/>
          <w:szCs w:val="24"/>
        </w:rPr>
        <w:t xml:space="preserve">  на  01 апреля</w:t>
      </w:r>
      <w:r>
        <w:rPr>
          <w:rFonts w:ascii="Times New Roman" w:hAnsi="Times New Roman"/>
          <w:sz w:val="24"/>
          <w:szCs w:val="24"/>
        </w:rPr>
        <w:t xml:space="preserve">   2018   года на персони</w:t>
      </w:r>
      <w:r w:rsidR="007F0E08">
        <w:rPr>
          <w:rFonts w:ascii="Times New Roman" w:hAnsi="Times New Roman"/>
          <w:sz w:val="24"/>
          <w:szCs w:val="24"/>
        </w:rPr>
        <w:t>фицированном учете  состоит  114</w:t>
      </w:r>
      <w:r>
        <w:rPr>
          <w:rFonts w:ascii="Times New Roman" w:hAnsi="Times New Roman"/>
          <w:sz w:val="24"/>
          <w:szCs w:val="24"/>
        </w:rPr>
        <w:t xml:space="preserve"> семьи, в которых проживает  4</w:t>
      </w:r>
      <w:r w:rsidR="007F0E0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получателе</w:t>
      </w:r>
      <w:r w:rsidR="007F0E08">
        <w:rPr>
          <w:rFonts w:ascii="Times New Roman" w:hAnsi="Times New Roman"/>
          <w:sz w:val="24"/>
          <w:szCs w:val="24"/>
        </w:rPr>
        <w:t>й социальных услуг, из них – 257</w:t>
      </w:r>
      <w:r>
        <w:rPr>
          <w:rFonts w:ascii="Times New Roman" w:hAnsi="Times New Roman"/>
          <w:sz w:val="24"/>
          <w:szCs w:val="24"/>
        </w:rPr>
        <w:t xml:space="preserve"> получателей в возрасте с 3 до 18 лет. За </w:t>
      </w:r>
      <w:r w:rsidR="005B29CD">
        <w:rPr>
          <w:rFonts w:ascii="Times New Roman" w:hAnsi="Times New Roman"/>
          <w:sz w:val="24"/>
          <w:szCs w:val="24"/>
        </w:rPr>
        <w:t>1 квартал  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5B2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5B29C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специалистами</w:t>
      </w:r>
      <w:r w:rsidR="007F0E08">
        <w:rPr>
          <w:rFonts w:ascii="Times New Roman" w:hAnsi="Times New Roman"/>
          <w:sz w:val="24"/>
          <w:szCs w:val="24"/>
        </w:rPr>
        <w:t xml:space="preserve"> отделения  предоставлено  480  социальные 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7F0E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AF1EED" w:rsidRDefault="00AF1EED" w:rsidP="00AF1E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Отделением  участковая социальная  служба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</w:t>
      </w:r>
      <w:r w:rsidR="005B29CD">
        <w:rPr>
          <w:rFonts w:ascii="Times New Roman" w:hAnsi="Times New Roman"/>
          <w:color w:val="000000"/>
          <w:sz w:val="24"/>
          <w:szCs w:val="24"/>
        </w:rPr>
        <w:t xml:space="preserve"> 1 квартал 2018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5B29C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 предоставлено </w:t>
      </w:r>
      <w:r w:rsidR="00A241B7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B715B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241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41B7">
        <w:rPr>
          <w:rFonts w:ascii="Times New Roman" w:hAnsi="Times New Roman"/>
          <w:color w:val="000000"/>
          <w:sz w:val="24"/>
          <w:szCs w:val="24"/>
        </w:rPr>
        <w:t>соц</w:t>
      </w:r>
      <w:r w:rsidR="00FF1685">
        <w:rPr>
          <w:rFonts w:ascii="Times New Roman" w:hAnsi="Times New Roman"/>
          <w:color w:val="000000"/>
          <w:sz w:val="24"/>
          <w:szCs w:val="24"/>
        </w:rPr>
        <w:t>иальные услуги  241   получателю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социальных услуг.</w:t>
      </w:r>
    </w:p>
    <w:p w:rsidR="00AF1EED" w:rsidRDefault="00AF1EED" w:rsidP="00AF1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Выполнение ключевых показателей эффективности деятельности организации</w:t>
      </w: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986"/>
        <w:gridCol w:w="2946"/>
        <w:gridCol w:w="1275"/>
      </w:tblGrid>
      <w:tr w:rsidR="00AF1EED" w:rsidTr="00AF1E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оценки,</w:t>
            </w: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AF1EED" w:rsidRDefault="00AF1E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</w:tbl>
    <w:p w:rsidR="00AF1EED" w:rsidRDefault="00AF1EED" w:rsidP="00AF1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4965"/>
        <w:gridCol w:w="29"/>
        <w:gridCol w:w="2950"/>
        <w:gridCol w:w="1277"/>
      </w:tblGrid>
      <w:tr w:rsidR="00AF1EED" w:rsidTr="00AF1EED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1EED" w:rsidTr="00AF1EE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 w:rsidP="00865E29">
            <w:pPr>
              <w:pStyle w:val="a6"/>
              <w:numPr>
                <w:ilvl w:val="0"/>
                <w:numId w:val="1"/>
              </w:numPr>
              <w:tabs>
                <w:tab w:val="left" w:pos="488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>Общие показатели эффективности деятельности организаций:</w:t>
            </w:r>
          </w:p>
        </w:tc>
      </w:tr>
      <w:tr w:rsidR="00AF1EED" w:rsidTr="00AF1E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граждан на качество предоставления социальных услуг организацией, в том числе от сотрудников </w:t>
            </w:r>
          </w:p>
          <w:p w:rsidR="00AF1EED" w:rsidRDefault="00AF1E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различные инстанции, свидетельствующих о неправомерных действиях, нарушении трудовых прав или бездействии руководителя (директора) (за исключением фактов, решение которых не входит в компетенцию организации)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в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B1" w:rsidRDefault="00B65BB1" w:rsidP="00B6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жалоб  не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считается обоснованной, если выявлено нарушение, требующее принятия решения об его устранении, а также о привлечении лица, допустившего нарушение, к ответственности (дисциплинарной, административной или уголовной)</w:t>
            </w:r>
          </w:p>
        </w:tc>
      </w:tr>
      <w:tr w:rsidR="00AF1EED" w:rsidTr="00AF1E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полное размещение (актуализация) в сети Интернет информации об организации на официальном сайте для размещения информации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  <w:proofErr w:type="gramEnd"/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полной информации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на официальном сайте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B1" w:rsidRDefault="00B6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1685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Организо-вано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своевре-менное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EED" w:rsidTr="00AF1EE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организациями на официальном сайте в сети Интернет (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информации, установленной постановлением Правительства Российской Федерации от 24.11.2014  № 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«Интернет»»,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в сети Интернет и ведения указанного сайта», приказом Министерства социальной политики Свердловской области от 29.10.2014 № 664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«Интернет»»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формирования и качество предоставления бюджетной, бухгалтерской, налоговой отчетности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и/или качества предоставления отчетных данных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и/или не качественное предоставления отчетных данных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B1" w:rsidRDefault="00B65BB1" w:rsidP="00B6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1EED" w:rsidRDefault="00AF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сроки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качест-венно</w:t>
            </w:r>
            <w:proofErr w:type="spellEnd"/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rPr>
          <w:trHeight w:val="4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статистической отчетности, информации по отдельным запросам Министерства социальной политики Свердловской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и/или качества предоставления отчетных данных и информации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и/или некачественное предоставление отчетных данных и информации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B1" w:rsidRDefault="00B65BB1" w:rsidP="00B6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1EED" w:rsidRDefault="00AF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Отчетность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запраши-ваемая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сроки  и качественно.</w:t>
            </w: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rPr>
          <w:trHeight w:val="4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(или) кредиторской задолженности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B1" w:rsidRDefault="00B65BB1" w:rsidP="00B6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отсутст-вует</w:t>
            </w:r>
            <w:proofErr w:type="spellEnd"/>
            <w:proofErr w:type="gramEnd"/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соотношения среднемесячной заработной платы отдельных категорий работников до установленных соотношений среднемесячной заработной платы в соответствии с указами 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07 мая 2012 года № 597 «О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государственной социальной политики», от 28 декабря 2012 года № 1688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родителей», Планом мероприятий («дорожной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карты»), утвержденного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26.02.2013 № 226-ПП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Плана мероприятий («дорожной карты») «Повышение эффективности и качества услуг в сфере социального обслуживания населения Свердловской области (2013–2018 годы)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– «дорожной картой»)</w:t>
            </w:r>
          </w:p>
          <w:p w:rsidR="00AF1EED" w:rsidRDefault="00AF1E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показателя по всем категориям работников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всем или какой-либо категории работников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B1" w:rsidRDefault="00B65BB1" w:rsidP="00B6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катего-риям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работни-ков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100%</w:t>
            </w: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К=ЗПСОЦ/ЗПСО*100, где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ЗПСОЦ – среднемесячная заработная плата отдельных категории работников, сложившаяся на конец отчетного периода;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ЗПСО – установленная среднемесячная начисленная заработная плата наемных работников в организациях, у индивидуальных предпринимателей и физических лиц, или среднемесячный доход от трудовой деятельности в соответствии с «дорожной картой»</w:t>
            </w:r>
          </w:p>
        </w:tc>
      </w:tr>
      <w:tr w:rsidR="00AF1EED" w:rsidTr="00AF1E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предельной доли оплаты труда работников административно-управленческого и вспомогательного персонала в фонде оплаты труда организации, установленной «дорожной картой»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40 %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40 %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B1" w:rsidRDefault="00B6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1EED" w:rsidRDefault="00B6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60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EE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F1EED" w:rsidTr="00AF1EED">
        <w:trPr>
          <w:trHeight w:val="635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/Ф2*100%, где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фонд оплаты труда административно-управленческого и вспомогательного персонала;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общий фонд оплаты труда работников организации</w:t>
            </w:r>
          </w:p>
        </w:tc>
      </w:tr>
      <w:tr w:rsidR="00AF1EED" w:rsidTr="00AF1EED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соотношения средней заработной платы основного и вспомогательного персонала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установленного «дорожной картой»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 / 0,5 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1 / 0,5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B1" w:rsidRDefault="00B6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5BB1" w:rsidRDefault="00B6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составило</w:t>
            </w:r>
          </w:p>
          <w:p w:rsidR="00AF1EED" w:rsidRDefault="00B6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F1EE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0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1EED" w:rsidTr="00AF1EED">
        <w:trPr>
          <w:trHeight w:val="535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З2, где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средней заработной платы основного персонала, условно принят за 1;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средней заработной платы вспомогательного персонала, рассчитывается по формуле: З2 =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заработная плата основного персонала,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– средняя заработная плата вспомогательного персонала</w:t>
            </w:r>
          </w:p>
        </w:tc>
      </w:tr>
      <w:tr w:rsidR="00AF1EED" w:rsidTr="00AF1EED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предельного уровня соотношения средней заработной платы руководителя (директора) организации, заместителей руководителя (директора) организации, главного бухгалтера организации и средней заработной платы работников организации (без учета заработной платы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(директора) организации, заместителей руководителя (директора) организации, главного бухгалтера организации) в кратности от 1 до 6, установленного «дорожной картой»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показателя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7" w:rsidRDefault="0037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72D9" w:rsidRDefault="00C50A4A" w:rsidP="00FE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 уровень</w:t>
            </w:r>
            <w:r w:rsidR="00375D67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</w:t>
            </w:r>
          </w:p>
          <w:p w:rsidR="00AF1EED" w:rsidRDefault="00FE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составило</w:t>
            </w:r>
            <w:proofErr w:type="gramStart"/>
            <w:r w:rsidR="00AF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EED" w:rsidTr="00AF1EED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закупок, проведенных конкурентными способами, к общему количеству закупок товаров, работ,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и более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30 % до 59%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D9" w:rsidRDefault="00FE72D9" w:rsidP="00FE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EED" w:rsidRDefault="00AF1EED" w:rsidP="00FE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AF1EED" w:rsidRDefault="00AF1EED" w:rsidP="00FE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AF1EED" w:rsidTr="00AF1EED">
        <w:trPr>
          <w:trHeight w:val="895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= ЗК/ЗО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 – количество закупок товаров, работ, услуг, проведенных конкурентными способами;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 – общее количество проведенных закупок товаров, работ, услуг</w:t>
            </w:r>
          </w:p>
        </w:tc>
      </w:tr>
      <w:tr w:rsidR="00AF1EED" w:rsidTr="00AF1EED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полная реализация плановых мероприятий, согласованных с надзорными органами, по обеспечению условий охраны труда, приведению условий в соответствие </w:t>
            </w:r>
          </w:p>
          <w:p w:rsidR="00AF1EED" w:rsidRDefault="00AF1EED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санитарно-гигиеническими требованиями, требованиями пожарной безопасности, антитеррористической безопасности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плановых мероприятий в объеме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90–100%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плановых мероприятий в объеме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9" w:rsidRDefault="00FE72D9" w:rsidP="00FE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90–100%</w:t>
            </w: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отборах проектов на получение</w:t>
            </w:r>
            <w:r w:rsidR="00FE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FE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 субсидирования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принимали участие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9" w:rsidRDefault="00FE72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EED" w:rsidRDefault="00AF1E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AF1EED" w:rsidRDefault="00AF1E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получателей услуг, воспитанников, клиентов организации в международных, всероссийских, межрегиональных, областных и районных олимпиадах, соревнованиях, конкурсах, проектах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в мероприятиях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 в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9" w:rsidRDefault="00FE72D9" w:rsidP="00FE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меропри-ятиях</w:t>
            </w:r>
            <w:proofErr w:type="spellEnd"/>
            <w:proofErr w:type="gramEnd"/>
          </w:p>
          <w:p w:rsidR="00AF1EED" w:rsidRDefault="00AF1E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чрезвычайной и (или) нештатной ситуаций с получателями услуг, воспитанниками и работниками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9" w:rsidRDefault="00FE72D9" w:rsidP="00FE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последней проведенной независимой оценки качества оказания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9" w:rsidRDefault="00FE72D9" w:rsidP="00FE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EED" w:rsidRDefault="00AF1EED" w:rsidP="00FE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rPr>
          <w:trHeight w:val="217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последней проведенной независимой оценки качества оказания услуг.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/Рпх100%, где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результат последней проведенной независимой оценки качества;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ановый результат последней проведенной независимой оценки качества</w:t>
            </w:r>
          </w:p>
        </w:tc>
      </w:tr>
      <w:tr w:rsidR="00AF1EED" w:rsidTr="00AF1EED">
        <w:trPr>
          <w:trHeight w:val="2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профессионального развития работников организации (дополнительное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образование, повышение квалификации, профессиональная переподготовка):</w:t>
            </w:r>
          </w:p>
        </w:tc>
      </w:tr>
      <w:tr w:rsidR="00AF1EED" w:rsidTr="00AF1EED">
        <w:trPr>
          <w:trHeight w:val="217"/>
        </w:trPr>
        <w:tc>
          <w:tcPr>
            <w:tcW w:w="9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работников, получивших дополнительное профессиональное образование (повышение квалификации, профессиональную переподготовку)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 и более за отчетный период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11 % за отчетный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92" w:rsidRDefault="00FA1E92" w:rsidP="00FA1E92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1EED" w:rsidRDefault="00AF1EED" w:rsidP="00FA1E92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11 % </w:t>
            </w:r>
            <w:r w:rsidR="00FA1E92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AF1EED" w:rsidTr="00AF1EED">
        <w:trPr>
          <w:trHeight w:val="217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/К2*100%, где 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работников, получивших дополнительное профессиональное образование (повышение квалификации, профессиональную переподготовку);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работников, которые обязаны получить дополнительное профессиональное образование (повышение квалификации, профессиональную переподготовку)</w:t>
            </w:r>
          </w:p>
        </w:tc>
      </w:tr>
      <w:tr w:rsidR="00AF1EED" w:rsidTr="00AF1EED">
        <w:trPr>
          <w:trHeight w:val="423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Дополнительные показатели эффективности деятельности организаций:</w:t>
            </w:r>
          </w:p>
        </w:tc>
      </w:tr>
      <w:tr w:rsidR="00AF1EED" w:rsidTr="00AF1EED">
        <w:trPr>
          <w:trHeight w:val="2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автономных и бюджетных организаций социального обслуживания:</w:t>
            </w:r>
          </w:p>
        </w:tc>
      </w:tr>
      <w:tr w:rsidR="00AF1EED" w:rsidTr="00AF1EED">
        <w:trPr>
          <w:trHeight w:val="217"/>
        </w:trPr>
        <w:tc>
          <w:tcPr>
            <w:tcW w:w="9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a6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выполнение государственного задания на оказание услуг (выполнение работ)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– 100 %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4" w:rsidRDefault="00F75AC4" w:rsidP="00F7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ED" w:rsidTr="00AF1EED">
        <w:trPr>
          <w:trHeight w:val="217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выполненного государственного задания определяется как соотношение количества фактически оказанных услуг в организации к объему социальных услуг, планируемых к оказанию за отчетный период согласно государственному заданию.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SUM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SUM Pi x 100%,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фактическое количество единиц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(выполнения работ);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плановое количество единиц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(выполнения работ);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сумма фактического количества оказанных услуг (выполненных работ);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плановое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государственного задания, в которых определен объем оказываемых услуг, считаются выполненными, если значение V составляет не менее 95 %</w:t>
            </w:r>
          </w:p>
        </w:tc>
      </w:tr>
      <w:tr w:rsidR="00AF1EED" w:rsidTr="00AF1EED">
        <w:trPr>
          <w:trHeight w:val="2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msonormalbullet2gif"/>
              <w:autoSpaceDE w:val="0"/>
              <w:autoSpaceDN w:val="0"/>
              <w:adjustRightInd w:val="0"/>
              <w:spacing w:line="276" w:lineRule="auto"/>
              <w:contextualSpacing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2.2. 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msonormalbullet2gif"/>
              <w:autoSpaceDE w:val="0"/>
              <w:autoSpaceDN w:val="0"/>
              <w:adjustRightInd w:val="0"/>
              <w:spacing w:line="276" w:lineRule="auto"/>
              <w:contextualSpacing/>
              <w:jc w:val="both"/>
              <w:outlineLvl w:val="0"/>
            </w:pPr>
            <w:r>
              <w:t>Для государственных казенных организаций социального обслуживания семьи и детей в стационарной форме:</w:t>
            </w:r>
          </w:p>
        </w:tc>
      </w:tr>
      <w:tr w:rsidR="00AF1EED" w:rsidTr="00AF1EED">
        <w:trPr>
          <w:trHeight w:val="217"/>
        </w:trPr>
        <w:tc>
          <w:tcPr>
            <w:tcW w:w="9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ED" w:rsidRDefault="00AF1E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коечной сети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100 %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4" w:rsidRDefault="00F7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EED" w:rsidRDefault="00F7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форма отсутствует</w:t>
            </w:r>
          </w:p>
        </w:tc>
      </w:tr>
      <w:tr w:rsidR="00AF1EED" w:rsidTr="00AF1EE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msonormalbullet2gifbullet1gif"/>
              <w:spacing w:after="0" w:afterAutospacing="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Выполнение плана коечной сети социального обслуживания семьи и детей в стационарной форме:</w:t>
            </w:r>
          </w:p>
          <w:p w:rsidR="00AF1EED" w:rsidRDefault="00AF1EED">
            <w:pPr>
              <w:pStyle w:val="msonormalbullet2gifbullet2gif"/>
              <w:spacing w:after="0" w:afterAutospacing="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К=Ф/Пх100%, где</w:t>
            </w:r>
          </w:p>
          <w:p w:rsidR="00AF1EED" w:rsidRDefault="00AF1EED">
            <w:pPr>
              <w:pStyle w:val="msonormalbullet2gifbullet2gif"/>
              <w:spacing w:after="0" w:afterAutospacing="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 – фактическое исполнение коечной сети (формируется как сумма числа несовершеннолетних, ежедневно состоящих на питании по меню (при расчете может использоваться программа 1С (блок - питание));</w:t>
            </w:r>
          </w:p>
          <w:p w:rsidR="00AF1EED" w:rsidRDefault="00AF1EED">
            <w:pPr>
              <w:pStyle w:val="msonormalbullet2gifbullet3gif"/>
              <w:spacing w:after="0" w:afterAutospacing="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– плановое количество койко-мест (определяется как произведение количества плановых койко-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мест в соответствии с приказом Министерства и количества календарных дней в году (365 или 366 дней)).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плана коечной сети социального обслуживания в стационарной форме (для государственных казенных организаций социального обслуживания семьи и детей) считается выполненным, если значение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составляет не менее 95 %</w:t>
            </w:r>
          </w:p>
        </w:tc>
      </w:tr>
      <w:tr w:rsidR="00AF1EED" w:rsidTr="00AF1EE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2.3.  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помощи»:</w:t>
            </w:r>
          </w:p>
        </w:tc>
      </w:tr>
      <w:tr w:rsidR="00AF1EED" w:rsidTr="00AF1EED">
        <w:trPr>
          <w:trHeight w:val="217"/>
        </w:trPr>
        <w:tc>
          <w:tcPr>
            <w:tcW w:w="9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организация и реализация региональных и федеральных проектов, мероприятий и программ в сфере деятельности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bullet1gif"/>
              <w:spacing w:line="276" w:lineRule="auto"/>
            </w:pPr>
            <w:r>
              <w:t>более 4 проектов (мероприятий)</w:t>
            </w:r>
          </w:p>
          <w:p w:rsidR="00AF1EED" w:rsidRDefault="00AF1EED">
            <w:pPr>
              <w:pStyle w:val="consplusnormalbullet2gif"/>
              <w:spacing w:line="276" w:lineRule="auto"/>
            </w:pPr>
          </w:p>
          <w:p w:rsidR="00AF1EED" w:rsidRDefault="00AF1EED">
            <w:pPr>
              <w:pStyle w:val="consplusnormalbullet2gif"/>
              <w:spacing w:line="276" w:lineRule="auto"/>
            </w:pPr>
            <w:r>
              <w:t>3 – 4 проекта (мероприятия)</w:t>
            </w:r>
          </w:p>
          <w:p w:rsidR="00AF1EED" w:rsidRDefault="00AF1EED">
            <w:pPr>
              <w:pStyle w:val="consplusnormalbullet2gif"/>
              <w:spacing w:line="276" w:lineRule="auto"/>
            </w:pPr>
          </w:p>
          <w:p w:rsidR="00AF1EED" w:rsidRDefault="00AF1EED">
            <w:pPr>
              <w:pStyle w:val="consplusnormalbullet2gif"/>
              <w:spacing w:line="276" w:lineRule="auto"/>
            </w:pPr>
            <w:r>
              <w:t>1 – 2 проекта (мероприятия)</w:t>
            </w:r>
          </w:p>
          <w:p w:rsidR="00AF1EED" w:rsidRDefault="00AF1EED">
            <w:pPr>
              <w:pStyle w:val="consplusnormalbullet2gif"/>
              <w:spacing w:line="276" w:lineRule="auto"/>
            </w:pPr>
          </w:p>
          <w:p w:rsidR="00AF1EED" w:rsidRDefault="00AF1EED">
            <w:pPr>
              <w:pStyle w:val="consplusnormalbullet2gif"/>
              <w:spacing w:line="276" w:lineRule="auto"/>
            </w:pPr>
            <w:r>
              <w:t>отсутствие проектов (мероприятий)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bullet3gif"/>
              <w:spacing w:line="276" w:lineRule="auto"/>
              <w:jc w:val="center"/>
            </w:pPr>
            <w:r>
              <w:t>-</w:t>
            </w:r>
          </w:p>
        </w:tc>
      </w:tr>
      <w:tr w:rsidR="00AF1EED" w:rsidTr="00AF1EED">
        <w:trPr>
          <w:trHeight w:val="261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2.4.Для государственных бюджетных, автономных, казенных организаций социального обслуживания семьи и детей, осуществляющих социальное обслуживание в стационарной форме, кроме государственных казенных организаций – детских домов-интернатов для умственно отсталых детей (детских домов-интернатов)</w:t>
            </w:r>
          </w:p>
        </w:tc>
      </w:tr>
      <w:tr w:rsidR="00AF1EED" w:rsidTr="00AF1EED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 и более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AC4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форма отсутствует</w:t>
            </w:r>
          </w:p>
        </w:tc>
      </w:tr>
      <w:tr w:rsidR="00AF1EED" w:rsidTr="00AF1EED">
        <w:trPr>
          <w:trHeight w:val="217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AF1EED" w:rsidTr="00AF1EED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правонарушений, совершенных воспитанниками за отчетный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преступлений 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5AC4" w:rsidRDefault="00F75AC4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форма отсутствует</w:t>
            </w:r>
          </w:p>
        </w:tc>
      </w:tr>
      <w:tr w:rsidR="00AF1EED" w:rsidTr="00AF1EED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75AC4" w:rsidRDefault="00F75AC4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рная форма отсутствует</w:t>
            </w:r>
          </w:p>
        </w:tc>
      </w:tr>
      <w:tr w:rsidR="00AF1EED" w:rsidTr="00AF1EED">
        <w:trPr>
          <w:trHeight w:val="535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Для государственных казенных организаций – детских домов-интернатов для умственно отсталых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детских домов-интернатов)</w:t>
            </w:r>
          </w:p>
        </w:tc>
      </w:tr>
      <w:tr w:rsidR="00AF1EED" w:rsidTr="00AF1EED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вовлеченных в образовательный процесс, от общего числа воспитанников, имеющих показания 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специальному образованию по заключению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обслуживании в доме-интернате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  <w:p w:rsidR="00AF1EED" w:rsidRDefault="00AF1E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ED" w:rsidTr="00AF1EED">
        <w:trPr>
          <w:trHeight w:val="1410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– количество воспитанников, вовлеченных в образовательный процесс, имеющих показания к специальному образованию по заключению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находящихся на обслуживании в доме-интернате;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AF1EED" w:rsidTr="00AF1EED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3% и более </w:t>
            </w:r>
          </w:p>
          <w:p w:rsidR="00AF1EED" w:rsidRDefault="00AF1E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ED" w:rsidTr="00AF1EED">
        <w:trPr>
          <w:trHeight w:val="535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AF1EED" w:rsidTr="00AF1EED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AF1EED" w:rsidRDefault="00AF1EED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ED" w:rsidTr="00AF1EED">
        <w:trPr>
          <w:trHeight w:val="301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Для государственных бюджетных, автономных организаций – реабилитационных центров для детей и подростков с ограниченными возможностями здоровья</w:t>
            </w:r>
          </w:p>
        </w:tc>
      </w:tr>
      <w:tr w:rsidR="00AF1EED" w:rsidTr="00AF1EED">
        <w:trPr>
          <w:trHeight w:val="3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коек при оказании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 (занятость койко-места за отчетный период)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– 100 %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ED" w:rsidTr="00AF1EED">
        <w:trPr>
          <w:trHeight w:val="301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коечной сети при оказании услуг социального обслуживания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форме: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К=Ф/Пх100%, где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- фактическое исполнение коечной сети (формируется как сумма числа детей, ежедневно состоящих на питании по меню (при расчете может использоваться программа 1С (блок питание));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исполнение койко-мест (определяется как произведение количества плановых койко-мест в соответствии с приказом Министерства и количества заездов в календарном году в соответствии со стандартами социальных услуг (1 заезд – 15 рабочих дней (три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недели)).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годовое количество заездов определяется следующим образом: количество недель в году разделить на 3).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коечной сети при оказании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 считается выполненным, если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не менее 95 %</w:t>
            </w:r>
          </w:p>
        </w:tc>
      </w:tr>
      <w:tr w:rsidR="00AF1EED" w:rsidTr="00AF1EED">
        <w:trPr>
          <w:trHeight w:val="3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ориентированными некоммерческими организациями по вопросам реабилитации детей-инвалидов и детей с ограниченными возможностями здоровья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более 2 социально ориентированными некоммерческими организациями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1–2 социально ориентированными некоммерческими организациями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взаимодействия с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ED" w:rsidTr="00AF1EED">
        <w:trPr>
          <w:trHeight w:val="3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деятельности), от общего числа получателей, прошедших курс социальной реабилитации за отчетный период в реабилитационном центре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65% до 100%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35% до 64%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35%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ED" w:rsidTr="00AF1EED">
        <w:trPr>
          <w:trHeight w:val="301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= ПУ/КО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– количество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деятельности); </w:t>
            </w:r>
          </w:p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получателей услуг</w:t>
            </w:r>
          </w:p>
        </w:tc>
      </w:tr>
      <w:tr w:rsidR="00AF1EED" w:rsidTr="00AF1EED">
        <w:trPr>
          <w:trHeight w:val="301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Для государственных бюджетных, автономных организаций социального обслуживания Свердловской области, оказывающих услуги гражданам пожилого возраста, инвалидам и лицам, попавшим в трудную жизненную ситуацию</w:t>
            </w:r>
          </w:p>
        </w:tc>
      </w:tr>
      <w:tr w:rsidR="00AF1EED" w:rsidTr="00AF1EED">
        <w:trPr>
          <w:trHeight w:val="3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качества в соответствии с требованиями международных стандартов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F" w:rsidRDefault="00076C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1EED" w:rsidRDefault="00AF1E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F1EED" w:rsidTr="00AF1EED">
        <w:trPr>
          <w:trHeight w:val="3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социальной ответственности в соответствии с требованиями международных стандартов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ED" w:rsidRDefault="00AF1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F" w:rsidRDefault="00076C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1EED" w:rsidRDefault="00AF1E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AF1EED" w:rsidRDefault="00AF1EED" w:rsidP="00AF1EED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EED" w:rsidRDefault="00AF1EED" w:rsidP="00AF1EED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(директор) учреждения                                     Е.М.Бородина</w:t>
      </w:r>
    </w:p>
    <w:p w:rsidR="00AF1EED" w:rsidRDefault="00AF1EED" w:rsidP="00AF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EED" w:rsidRDefault="00AF1EED" w:rsidP="00AF1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EED" w:rsidRDefault="00AF1EED" w:rsidP="00AF1EED">
      <w:pPr>
        <w:rPr>
          <w:sz w:val="24"/>
          <w:szCs w:val="24"/>
        </w:rPr>
      </w:pPr>
    </w:p>
    <w:p w:rsidR="00BA348F" w:rsidRDefault="00BA348F"/>
    <w:sectPr w:rsidR="00BA348F" w:rsidSect="003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DA1"/>
    <w:multiLevelType w:val="hybridMultilevel"/>
    <w:tmpl w:val="C436D1B0"/>
    <w:lvl w:ilvl="0" w:tplc="C0EE00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1EED"/>
    <w:rsid w:val="00076C2F"/>
    <w:rsid w:val="00076EB3"/>
    <w:rsid w:val="000902CE"/>
    <w:rsid w:val="000F2D34"/>
    <w:rsid w:val="00173B09"/>
    <w:rsid w:val="001900F0"/>
    <w:rsid w:val="001C24EC"/>
    <w:rsid w:val="00246B6A"/>
    <w:rsid w:val="002D261D"/>
    <w:rsid w:val="00323646"/>
    <w:rsid w:val="003356B3"/>
    <w:rsid w:val="00375D67"/>
    <w:rsid w:val="00402BD6"/>
    <w:rsid w:val="00406885"/>
    <w:rsid w:val="004F7460"/>
    <w:rsid w:val="00560957"/>
    <w:rsid w:val="005B29CD"/>
    <w:rsid w:val="00717671"/>
    <w:rsid w:val="007825C8"/>
    <w:rsid w:val="007B1DA1"/>
    <w:rsid w:val="007F0E08"/>
    <w:rsid w:val="00824C17"/>
    <w:rsid w:val="009777DF"/>
    <w:rsid w:val="00A241B7"/>
    <w:rsid w:val="00A96FCF"/>
    <w:rsid w:val="00AF0C8F"/>
    <w:rsid w:val="00AF1EED"/>
    <w:rsid w:val="00B169A2"/>
    <w:rsid w:val="00B1786D"/>
    <w:rsid w:val="00B247DE"/>
    <w:rsid w:val="00B65BB1"/>
    <w:rsid w:val="00B715BD"/>
    <w:rsid w:val="00BA348F"/>
    <w:rsid w:val="00BC0236"/>
    <w:rsid w:val="00BF3E05"/>
    <w:rsid w:val="00C50A4A"/>
    <w:rsid w:val="00C619FD"/>
    <w:rsid w:val="00CA321A"/>
    <w:rsid w:val="00CA53CB"/>
    <w:rsid w:val="00CE2D0C"/>
    <w:rsid w:val="00D2468D"/>
    <w:rsid w:val="00D43094"/>
    <w:rsid w:val="00E65534"/>
    <w:rsid w:val="00EB33C8"/>
    <w:rsid w:val="00EB3D68"/>
    <w:rsid w:val="00F75AC4"/>
    <w:rsid w:val="00FA1E92"/>
    <w:rsid w:val="00FC0170"/>
    <w:rsid w:val="00FE72D9"/>
    <w:rsid w:val="00FF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1EED"/>
    <w:rPr>
      <w:color w:val="0000FF"/>
      <w:u w:val="single"/>
    </w:rPr>
  </w:style>
  <w:style w:type="paragraph" w:styleId="a4">
    <w:name w:val="Body Text"/>
    <w:basedOn w:val="a"/>
    <w:link w:val="a5"/>
    <w:unhideWhenUsed/>
    <w:rsid w:val="00AF1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F1EE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F1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A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rsid w:val="00A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A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A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2677156AE01516E92D44F6F4A6C8E7ACBA71423D3FB4906C9B69C4DBC36BB4AB7CV4G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2018-03-29T06:23:00Z</cp:lastPrinted>
  <dcterms:created xsi:type="dcterms:W3CDTF">2018-07-25T07:26:00Z</dcterms:created>
  <dcterms:modified xsi:type="dcterms:W3CDTF">2018-07-25T07:26:00Z</dcterms:modified>
</cp:coreProperties>
</file>