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ind/>
        <w:jc w:val="center"/>
        <w:rPr>
          <w:rFonts w:ascii="PT Serif" w:hAnsi="PT Serif"/>
          <w:b w:val="1"/>
          <w:sz w:val="24"/>
        </w:rPr>
      </w:pPr>
      <w:r>
        <w:rPr>
          <w:rFonts w:ascii="Liberation Serif" w:hAnsi="Liberation Serif"/>
          <w:b w:val="1"/>
          <w:sz w:val="24"/>
        </w:rPr>
        <w:t>Единовременная денежная выплата члена</w:t>
      </w:r>
      <w:r>
        <w:rPr>
          <w:rFonts w:ascii="PT Serif" w:hAnsi="PT Serif"/>
          <w:b w:val="1"/>
          <w:sz w:val="24"/>
        </w:rPr>
        <w:t>м семей погибших (умерших)</w:t>
      </w:r>
    </w:p>
    <w:p w14:paraId="02000000">
      <w:pPr>
        <w:pStyle w:val="Style_1"/>
        <w:numPr>
          <w:ilvl w:val="0"/>
          <w:numId w:val="1"/>
        </w:numPr>
        <w:ind w:left="426"/>
        <w:jc w:val="both"/>
        <w:rPr>
          <w:rFonts w:ascii="PT Serif" w:hAnsi="PT Serif"/>
          <w:b w:val="1"/>
          <w:sz w:val="23"/>
        </w:rPr>
      </w:pPr>
      <w:r>
        <w:rPr>
          <w:rFonts w:ascii="PT Serif" w:hAnsi="PT Serif"/>
          <w:b w:val="1"/>
          <w:sz w:val="23"/>
        </w:rPr>
        <w:t>военнослужащих,</w:t>
      </w:r>
    </w:p>
    <w:p w14:paraId="03000000">
      <w:pPr>
        <w:pStyle w:val="Style_1"/>
        <w:numPr>
          <w:ilvl w:val="0"/>
          <w:numId w:val="1"/>
        </w:numPr>
        <w:ind w:left="426"/>
        <w:jc w:val="both"/>
        <w:rPr>
          <w:rFonts w:ascii="PT Serif" w:hAnsi="PT Serif"/>
          <w:b w:val="1"/>
          <w:sz w:val="23"/>
        </w:rPr>
      </w:pPr>
      <w:r>
        <w:rPr>
          <w:rFonts w:ascii="PT Serif" w:hAnsi="PT Serif"/>
          <w:b w:val="1"/>
          <w:color w:val="22272F"/>
          <w:sz w:val="23"/>
        </w:rPr>
        <w:t>лиц рядового и начальствующего состава органов внутренних дел, войск национальной гвардии и органов государственной безопасности, сотрудников учреждений и органов уголовно-исполнительной системы, органов принудительного исполнения Российской Федерации, принимавших участие в специальной военной операции</w:t>
      </w:r>
      <w:r>
        <w:rPr>
          <w:rFonts w:ascii="PT Serif" w:hAnsi="PT Serif"/>
          <w:b w:val="1"/>
          <w:sz w:val="23"/>
        </w:rPr>
        <w:t xml:space="preserve"> (далее - участник СВО), </w:t>
      </w:r>
    </w:p>
    <w:p w14:paraId="04000000">
      <w:pPr>
        <w:pStyle w:val="Style_1"/>
        <w:numPr>
          <w:ilvl w:val="0"/>
          <w:numId w:val="1"/>
        </w:numPr>
        <w:ind w:left="426"/>
        <w:jc w:val="both"/>
        <w:rPr>
          <w:rFonts w:ascii="PT Serif" w:hAnsi="PT Serif"/>
          <w:b w:val="1"/>
          <w:sz w:val="23"/>
        </w:rPr>
      </w:pPr>
      <w:r>
        <w:rPr>
          <w:rFonts w:ascii="PT Serif" w:hAnsi="PT Serif"/>
          <w:b w:val="1"/>
          <w:color w:val="22272F"/>
          <w:sz w:val="23"/>
        </w:rPr>
        <w:t>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а также отражения вооруженной провокации (</w:t>
      </w:r>
      <w:r>
        <w:rPr>
          <w:rFonts w:ascii="PT Serif" w:hAnsi="PT Serif"/>
          <w:b w:val="1"/>
          <w:sz w:val="23"/>
        </w:rPr>
        <w:t>далее - доброволец),</w:t>
      </w:r>
    </w:p>
    <w:p w14:paraId="05000000">
      <w:pPr>
        <w:pStyle w:val="Style_1"/>
        <w:numPr>
          <w:ilvl w:val="0"/>
          <w:numId w:val="1"/>
        </w:numPr>
        <w:ind w:left="426"/>
        <w:jc w:val="both"/>
        <w:rPr>
          <w:rFonts w:ascii="PT Serif" w:hAnsi="PT Serif"/>
          <w:b w:val="1"/>
          <w:sz w:val="23"/>
        </w:rPr>
      </w:pPr>
      <w:r>
        <w:rPr>
          <w:rFonts w:ascii="PT Serif" w:hAnsi="PT Serif"/>
          <w:b w:val="1"/>
          <w:color w:val="22272F"/>
          <w:sz w:val="23"/>
        </w:rPr>
        <w:t>лиц,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в ходе специальной военной операции (далее - сотрудник организации, содействующей выполнению задач),</w:t>
      </w:r>
    </w:p>
    <w:p w14:paraId="06000000">
      <w:pPr>
        <w:pStyle w:val="Style_1"/>
        <w:numPr>
          <w:ilvl w:val="0"/>
          <w:numId w:val="1"/>
        </w:numPr>
        <w:ind w:left="426"/>
        <w:jc w:val="both"/>
        <w:rPr>
          <w:rFonts w:ascii="PT Serif" w:hAnsi="PT Serif"/>
          <w:b w:val="1"/>
          <w:sz w:val="23"/>
        </w:rPr>
      </w:pPr>
      <w:r>
        <w:rPr>
          <w:rFonts w:ascii="PT Serif" w:hAnsi="PT Serif"/>
          <w:b w:val="1"/>
          <w:color w:val="22272F"/>
          <w:sz w:val="23"/>
        </w:rPr>
        <w:t>граждан, заключивших контракт о прохождении военной службы с Министерством обороны Российской Федерации, зачисленных в списки воинских частей и проходивших военную службу по контракту (далее - лицо, заключившее контракт)</w:t>
      </w:r>
    </w:p>
    <w:p w14:paraId="07000000">
      <w:pPr>
        <w:pStyle w:val="Style_2"/>
        <w:ind/>
        <w:jc w:val="both"/>
        <w:rPr>
          <w:rFonts w:ascii="PT Serif" w:hAnsi="PT Serif"/>
          <w:b w:val="1"/>
          <w:sz w:val="23"/>
          <w:u w:val="single"/>
        </w:rPr>
      </w:pPr>
      <w:r>
        <w:rPr>
          <w:rFonts w:ascii="PT Serif" w:hAnsi="PT Serif"/>
          <w:b w:val="1"/>
          <w:sz w:val="23"/>
          <w:u w:val="single"/>
        </w:rPr>
        <w:t xml:space="preserve">Размер </w:t>
      </w:r>
      <w:r>
        <w:rPr>
          <w:rFonts w:ascii="PT Serif" w:hAnsi="PT Serif"/>
          <w:b w:val="1"/>
          <w:sz w:val="23"/>
          <w:highlight w:val="white"/>
          <w:u w:val="single"/>
        </w:rPr>
        <w:t xml:space="preserve">1 500 000 рублей, выплачивается в равных долях каждому члену семьи. </w:t>
      </w:r>
    </w:p>
    <w:p w14:paraId="08000000">
      <w:pPr>
        <w:pStyle w:val="Style_3"/>
        <w:spacing w:line="216" w:lineRule="auto"/>
        <w:ind/>
        <w:jc w:val="both"/>
        <w:rPr>
          <w:b w:val="1"/>
          <w:u w:val="single"/>
        </w:rPr>
      </w:pPr>
      <w:r>
        <w:rPr>
          <w:rFonts w:ascii="PT Serif" w:hAnsi="PT Serif"/>
          <w:b w:val="1"/>
          <w:u w:val="single"/>
        </w:rPr>
        <w:t xml:space="preserve">Условия предоставления выплаты членам семьи погибшего (умершего) участника СВО </w:t>
      </w:r>
      <w:r>
        <w:rPr>
          <w:rFonts w:ascii="Liberation Serif" w:hAnsi="Liberation Serif"/>
          <w:b w:val="1"/>
          <w:u w:val="single"/>
        </w:rPr>
        <w:t>или</w:t>
      </w:r>
      <w:r>
        <w:rPr>
          <w:b w:val="1"/>
          <w:u w:val="single"/>
        </w:rPr>
        <w:t xml:space="preserve"> </w:t>
      </w:r>
      <w:r>
        <w:rPr>
          <w:rFonts w:ascii="PT Serif" w:hAnsi="PT Serif"/>
          <w:b w:val="1"/>
          <w:u w:val="single"/>
        </w:rPr>
        <w:t>лица, выполнявшего задачи по отражению вооруженного вторжения</w:t>
      </w:r>
      <w:r>
        <w:rPr>
          <w:rFonts w:ascii="Liberation Serif" w:hAnsi="Liberation Serif"/>
          <w:b w:val="1"/>
          <w:u w:val="single"/>
        </w:rPr>
        <w:t>:</w:t>
      </w:r>
    </w:p>
    <w:p w14:paraId="09000000">
      <w:pPr>
        <w:ind/>
        <w:jc w:val="both"/>
        <w:rPr>
          <w:rFonts w:ascii="PT Serif" w:hAnsi="PT Serif"/>
          <w:color w:val="22272F"/>
          <w:sz w:val="23"/>
        </w:rPr>
      </w:pPr>
      <w:bookmarkStart w:id="1" w:name="sub_1022"/>
      <w:bookmarkEnd w:id="1"/>
      <w:bookmarkStart w:id="2" w:name="sub_1003"/>
      <w:r>
        <w:rPr>
          <w:rFonts w:ascii="PT Serif" w:hAnsi="PT Serif"/>
          <w:color w:val="22272F"/>
          <w:sz w:val="23"/>
        </w:rPr>
        <w:t xml:space="preserve">1) гибель (смерть) в связи с исполнением обязанностей военной службы (служебных обязанностей) в ходе СВО (выполнения задач по отражению вооруженного вторжения, а также по отражению вооруженной провокации) </w:t>
      </w:r>
      <w:r>
        <w:rPr>
          <w:rFonts w:ascii="PT Serif" w:hAnsi="PT Serif"/>
          <w:color w:val="22272F"/>
          <w:sz w:val="23"/>
          <w:u w:val="single"/>
        </w:rPr>
        <w:t>либо смерть вследствие ранения (увечья, травмы, контузии) или заболевания,</w:t>
      </w:r>
      <w:r>
        <w:rPr>
          <w:rFonts w:ascii="PT Serif" w:hAnsi="PT Serif"/>
          <w:color w:val="22272F"/>
          <w:sz w:val="23"/>
        </w:rPr>
        <w:t xml:space="preserve"> полученных при исполнении обязанностей военной службы (служебных обязанностей) в ходе СВО (выполнения задач по отражению вооруженного вторжения, а также по отражению вооруженной провокации);</w:t>
      </w:r>
    </w:p>
    <w:p w14:paraId="0A000000">
      <w:pPr>
        <w:ind/>
        <w:jc w:val="both"/>
        <w:rPr>
          <w:rFonts w:ascii="PT Serif" w:hAnsi="PT Serif"/>
          <w:color w:val="22272F"/>
          <w:sz w:val="23"/>
        </w:rPr>
      </w:pPr>
      <w:r>
        <w:rPr>
          <w:rFonts w:ascii="PT Serif" w:hAnsi="PT Serif"/>
          <w:color w:val="22272F"/>
          <w:sz w:val="23"/>
        </w:rPr>
        <w:t>2)</w:t>
      </w:r>
      <w:r>
        <w:rPr>
          <w:rFonts w:ascii="PT Serif" w:hAnsi="PT Serif"/>
          <w:color w:val="22272F"/>
          <w:sz w:val="23"/>
        </w:rPr>
        <w:t xml:space="preserve"> </w:t>
      </w:r>
      <w:r>
        <w:rPr>
          <w:rFonts w:ascii="PT Serif" w:hAnsi="PT Serif"/>
          <w:b w:val="0"/>
          <w:i w:val="0"/>
          <w:caps w:val="0"/>
          <w:color w:val="22272F"/>
          <w:spacing w:val="0"/>
          <w:sz w:val="23"/>
        </w:rPr>
        <w:t>лицо, обратившееся за предоставлением единовременной денежной выплаты, проживает на территории Свердловской области</w:t>
      </w:r>
      <w:r>
        <w:rPr>
          <w:rFonts w:ascii="PT Serif" w:hAnsi="PT Serif"/>
          <w:b w:val="0"/>
          <w:i w:val="0"/>
          <w:caps w:val="0"/>
          <w:color w:val="22272F"/>
          <w:spacing w:val="0"/>
          <w:sz w:val="23"/>
        </w:rPr>
        <w:t> </w:t>
      </w:r>
      <w:r>
        <w:rPr>
          <w:rFonts w:ascii="PT Serif" w:hAnsi="PT Serif"/>
          <w:b w:val="0"/>
          <w:i w:val="0"/>
          <w:caps w:val="0"/>
          <w:color w:val="22272F"/>
          <w:spacing w:val="0"/>
          <w:sz w:val="23"/>
        </w:rPr>
        <w:t>на дату гибели (смерти) участника СВО, лица, выполнявшего задачи по отражению вооруженного вторжения, и (или)</w:t>
      </w:r>
      <w:r>
        <w:rPr>
          <w:rFonts w:ascii="PT Serif" w:hAnsi="PT Serif"/>
          <w:b w:val="0"/>
          <w:i w:val="0"/>
          <w:caps w:val="0"/>
          <w:color w:val="22272F"/>
          <w:spacing w:val="0"/>
          <w:sz w:val="23"/>
        </w:rPr>
        <w:t> </w:t>
      </w:r>
      <w:r>
        <w:rPr>
          <w:rFonts w:ascii="PT Serif" w:hAnsi="PT Serif"/>
          <w:b w:val="0"/>
          <w:i w:val="0"/>
          <w:caps w:val="0"/>
          <w:color w:val="22272F"/>
          <w:spacing w:val="0"/>
          <w:sz w:val="23"/>
        </w:rPr>
        <w:t>участник СВО, лицо, выполнявшее задачи по отражению вооруженного вторжения, был (было) зарегистрирован (зарегистрировано) по месту жительства (пребывания) на территории Свердловской области на дату его гибели (смерти);</w:t>
      </w:r>
    </w:p>
    <w:p w14:paraId="0B000000">
      <w:pPr>
        <w:ind/>
        <w:jc w:val="both"/>
        <w:rPr>
          <w:rFonts w:ascii="PT Serif" w:hAnsi="PT Serif"/>
          <w:color w:val="22272F"/>
          <w:sz w:val="23"/>
        </w:rPr>
      </w:pPr>
      <w:r>
        <w:rPr>
          <w:rFonts w:ascii="PT Serif" w:hAnsi="PT Serif"/>
          <w:color w:val="22272F"/>
          <w:sz w:val="23"/>
        </w:rPr>
        <w:t>3</w:t>
      </w:r>
      <w:r>
        <w:rPr>
          <w:rFonts w:ascii="PT Serif" w:hAnsi="PT Serif"/>
          <w:color w:val="22272F"/>
          <w:sz w:val="23"/>
        </w:rPr>
        <w:t xml:space="preserve">) обращение за предоставлением выплаты последовало не позднее 12 месяцев со дня регистрации в управлении социальной политики первого заявления о предоставлении </w:t>
      </w:r>
      <w:r>
        <w:rPr>
          <w:rFonts w:ascii="PT Serif" w:hAnsi="PT Serif"/>
          <w:color w:val="22272F"/>
          <w:sz w:val="23"/>
        </w:rPr>
        <w:t xml:space="preserve">такой </w:t>
      </w:r>
      <w:r>
        <w:rPr>
          <w:rFonts w:ascii="PT Serif" w:hAnsi="PT Serif"/>
          <w:color w:val="22272F"/>
          <w:sz w:val="23"/>
        </w:rPr>
        <w:t xml:space="preserve">выплаты </w:t>
      </w:r>
      <w:r>
        <w:rPr>
          <w:rFonts w:ascii="PT Serif" w:hAnsi="PT Serif"/>
          <w:color w:val="22272F"/>
          <w:sz w:val="23"/>
        </w:rPr>
        <w:t>другому члену семьи</w:t>
      </w:r>
      <w:r>
        <w:rPr>
          <w:rFonts w:ascii="PT Serif" w:hAnsi="PT Serif"/>
          <w:color w:val="22272F"/>
          <w:sz w:val="23"/>
        </w:rPr>
        <w:t>;</w:t>
      </w:r>
    </w:p>
    <w:p w14:paraId="0C000000">
      <w:pPr>
        <w:rPr>
          <w:rFonts w:ascii="PT Serif" w:hAnsi="PT Serif"/>
          <w:b w:val="1"/>
          <w:sz w:val="23"/>
          <w:u w:val="single"/>
        </w:rPr>
      </w:pPr>
    </w:p>
    <w:p w14:paraId="0D000000">
      <w:pPr>
        <w:rPr>
          <w:rFonts w:ascii="PT Serif" w:hAnsi="PT Serif"/>
          <w:b w:val="1"/>
          <w:sz w:val="24"/>
          <w:u w:val="single"/>
        </w:rPr>
      </w:pPr>
      <w:r>
        <w:rPr>
          <w:rFonts w:ascii="PT Serif" w:hAnsi="PT Serif"/>
          <w:b w:val="1"/>
          <w:sz w:val="24"/>
          <w:u w:val="single"/>
        </w:rPr>
        <w:t>Условия предоставления выплаты членам семьи погибшего (умершего) добровольца:</w:t>
      </w:r>
    </w:p>
    <w:p w14:paraId="0E000000">
      <w:pPr>
        <w:ind/>
        <w:jc w:val="both"/>
        <w:rPr>
          <w:rFonts w:ascii="PT Serif" w:hAnsi="PT Serif"/>
          <w:color w:val="22272F"/>
          <w:sz w:val="23"/>
        </w:rPr>
      </w:pPr>
      <w:r>
        <w:rPr>
          <w:rFonts w:ascii="PT Serif" w:hAnsi="PT Serif"/>
          <w:color w:val="22272F"/>
          <w:sz w:val="23"/>
        </w:rPr>
        <w:t>1) гибель (смерть) во время исполнения обязанностей по контракту о пребывании в созданных по решению органов государственной власти Российской Федерации добровольческих формированиях, содействующих выполнению задач, возложенных на Вооруженные Силы Российской Федерации (войска национальной гвардии Российской Федерации), в ходе СВО, отражения вооруженного вторжения, а также отражения вооруженной провокации , л</w:t>
      </w:r>
      <w:r>
        <w:rPr>
          <w:rFonts w:ascii="PT Serif" w:hAnsi="PT Serif"/>
          <w:color w:val="22272F"/>
          <w:sz w:val="23"/>
          <w:u w:val="single"/>
        </w:rPr>
        <w:t>ибо смерть в связи с ранением (увечьем, травмой, контузией), заболеванием</w:t>
      </w:r>
      <w:r>
        <w:rPr>
          <w:rFonts w:ascii="PT Serif" w:hAnsi="PT Serif"/>
          <w:color w:val="22272F"/>
          <w:sz w:val="23"/>
        </w:rPr>
        <w:t>, полученными во время исполнения обязанностей по контракту о пребывании в добровольческих формированиях;</w:t>
      </w:r>
    </w:p>
    <w:p w14:paraId="0F000000">
      <w:pPr>
        <w:ind/>
        <w:jc w:val="both"/>
        <w:rPr>
          <w:rFonts w:ascii="PT Serif" w:hAnsi="PT Serif"/>
          <w:color w:val="22272F"/>
          <w:sz w:val="23"/>
        </w:rPr>
      </w:pPr>
      <w:r>
        <w:rPr>
          <w:rFonts w:ascii="PT Serif" w:hAnsi="PT Serif"/>
          <w:color w:val="22272F"/>
          <w:sz w:val="23"/>
        </w:rPr>
        <w:t>2)</w:t>
      </w:r>
      <w:r>
        <w:rPr>
          <w:rFonts w:ascii="PT Serif" w:hAnsi="PT Serif"/>
          <w:color w:val="22272F"/>
          <w:sz w:val="23"/>
        </w:rPr>
        <w:t xml:space="preserve"> </w:t>
      </w:r>
      <w:r>
        <w:rPr>
          <w:rFonts w:ascii="PT Serif" w:hAnsi="PT Serif"/>
          <w:b w:val="0"/>
          <w:i w:val="0"/>
          <w:caps w:val="0"/>
          <w:color w:val="22272F"/>
          <w:spacing w:val="0"/>
          <w:sz w:val="23"/>
        </w:rPr>
        <w:t>лицо, обратившееся за предоставлением единовременной денежной выплаты, проживает на территории Свердловской области</w:t>
      </w:r>
      <w:r>
        <w:rPr>
          <w:rFonts w:ascii="PT Serif" w:hAnsi="PT Serif"/>
          <w:b w:val="0"/>
          <w:i w:val="0"/>
          <w:caps w:val="0"/>
          <w:color w:val="22272F"/>
          <w:spacing w:val="0"/>
          <w:sz w:val="23"/>
        </w:rPr>
        <w:t> </w:t>
      </w:r>
      <w:r>
        <w:rPr>
          <w:rFonts w:ascii="PT Serif" w:hAnsi="PT Serif"/>
          <w:b w:val="0"/>
          <w:i w:val="0"/>
          <w:caps w:val="0"/>
          <w:color w:val="22272F"/>
          <w:spacing w:val="0"/>
          <w:sz w:val="23"/>
        </w:rPr>
        <w:t>на дату гибели (смерти) добровольца, и (или)</w:t>
      </w:r>
      <w:r>
        <w:rPr>
          <w:rFonts w:ascii="PT Serif" w:hAnsi="PT Serif"/>
          <w:b w:val="0"/>
          <w:i w:val="0"/>
          <w:caps w:val="0"/>
          <w:color w:val="22272F"/>
          <w:spacing w:val="0"/>
          <w:sz w:val="23"/>
        </w:rPr>
        <w:t> </w:t>
      </w:r>
      <w:r>
        <w:rPr>
          <w:rFonts w:ascii="PT Serif" w:hAnsi="PT Serif"/>
          <w:b w:val="0"/>
          <w:i w:val="0"/>
          <w:caps w:val="0"/>
          <w:color w:val="22272F"/>
          <w:spacing w:val="0"/>
          <w:sz w:val="23"/>
        </w:rPr>
        <w:t>доброволец, был зарегистрирован (зарегистрировано) по месту жительства (пребывания) на территории Свердловской области на дату его гибели (смерти);</w:t>
      </w:r>
    </w:p>
    <w:p w14:paraId="10000000">
      <w:pPr>
        <w:ind/>
        <w:jc w:val="both"/>
        <w:rPr>
          <w:rFonts w:ascii="PT Serif" w:hAnsi="PT Serif"/>
          <w:color w:val="22272F"/>
          <w:sz w:val="23"/>
        </w:rPr>
      </w:pPr>
      <w:r>
        <w:rPr>
          <w:rFonts w:ascii="PT Serif" w:hAnsi="PT Serif"/>
          <w:color w:val="22272F"/>
          <w:sz w:val="23"/>
        </w:rPr>
        <w:t xml:space="preserve">3) обращение за предоставлением выплаты последовало не позднее 12 месяцев со дня регистрации в управлении социальной политики первого заявления о предоставлении </w:t>
      </w:r>
      <w:r>
        <w:rPr>
          <w:rFonts w:ascii="PT Serif" w:hAnsi="PT Serif"/>
          <w:color w:val="22272F"/>
          <w:sz w:val="23"/>
        </w:rPr>
        <w:t xml:space="preserve">такой </w:t>
      </w:r>
      <w:r>
        <w:rPr>
          <w:rFonts w:ascii="PT Serif" w:hAnsi="PT Serif"/>
          <w:color w:val="22272F"/>
          <w:sz w:val="23"/>
        </w:rPr>
        <w:t xml:space="preserve">выплаты </w:t>
      </w:r>
      <w:r>
        <w:rPr>
          <w:rFonts w:ascii="PT Serif" w:hAnsi="PT Serif"/>
          <w:color w:val="22272F"/>
          <w:sz w:val="23"/>
        </w:rPr>
        <w:t xml:space="preserve">другому </w:t>
      </w:r>
      <w:r>
        <w:rPr>
          <w:rFonts w:ascii="PT Serif" w:hAnsi="PT Serif"/>
          <w:color w:val="22272F"/>
          <w:sz w:val="23"/>
        </w:rPr>
        <w:t>члену семьи.</w:t>
      </w:r>
    </w:p>
    <w:p w14:paraId="11000000">
      <w:pPr>
        <w:ind/>
        <w:jc w:val="both"/>
        <w:rPr>
          <w:rFonts w:ascii="PT Serif" w:hAnsi="PT Serif"/>
          <w:color w:val="22272F"/>
          <w:sz w:val="23"/>
        </w:rPr>
      </w:pPr>
    </w:p>
    <w:p w14:paraId="12000000">
      <w:pPr>
        <w:rPr>
          <w:rFonts w:ascii="PT Serif" w:hAnsi="PT Serif"/>
          <w:b w:val="1"/>
          <w:sz w:val="24"/>
          <w:highlight w:val="white"/>
          <w:u w:val="single"/>
        </w:rPr>
      </w:pPr>
      <w:r>
        <w:rPr>
          <w:rFonts w:ascii="PT Serif" w:hAnsi="PT Serif"/>
          <w:b w:val="1"/>
          <w:sz w:val="24"/>
          <w:highlight w:val="white"/>
          <w:u w:val="single"/>
        </w:rPr>
        <w:t>Условия предоставления выплаты членам семьи погибшего (умершего) сотрудника организации, содействующей выполнению задач:</w:t>
      </w:r>
    </w:p>
    <w:p w14:paraId="13000000">
      <w:pPr>
        <w:ind/>
        <w:jc w:val="both"/>
        <w:rPr>
          <w:rFonts w:ascii="PT Serif" w:hAnsi="PT Serif"/>
          <w:color w:val="22272F"/>
          <w:sz w:val="23"/>
        </w:rPr>
      </w:pPr>
      <w:r>
        <w:rPr>
          <w:rFonts w:ascii="PT Serif" w:hAnsi="PT Serif"/>
          <w:color w:val="22272F"/>
          <w:sz w:val="23"/>
        </w:rPr>
        <w:t xml:space="preserve">1)гибель (смерть) во время исполнения обязанностей по контракту (в рамках иных правоотношений) с организацией, содействующей выполнению задач, возложенных на Вооруженные Силы Российской Федерации, в ходе </w:t>
      </w:r>
      <w:r>
        <w:rPr>
          <w:rFonts w:ascii="PT Serif" w:hAnsi="PT Serif"/>
          <w:color w:val="22272F"/>
          <w:sz w:val="23"/>
        </w:rPr>
        <w:t>СВО либо</w:t>
      </w:r>
      <w:r>
        <w:rPr>
          <w:rFonts w:ascii="PT Serif" w:hAnsi="PT Serif"/>
          <w:color w:val="22272F"/>
          <w:sz w:val="23"/>
          <w:u w:val="single"/>
        </w:rPr>
        <w:t xml:space="preserve"> смерть в связи с ранением (увечьем, травмой, контузией), заболеванием,</w:t>
      </w:r>
      <w:r>
        <w:rPr>
          <w:rFonts w:ascii="PT Serif" w:hAnsi="PT Serif"/>
          <w:color w:val="22272F"/>
          <w:sz w:val="23"/>
        </w:rPr>
        <w:t xml:space="preserve"> полученными во время исполнения обязанностей по контракту (в рамках иных правоотношений) с организацией, содействующей выполнению задач;</w:t>
      </w:r>
    </w:p>
    <w:p w14:paraId="14000000">
      <w:pPr>
        <w:ind/>
        <w:jc w:val="both"/>
        <w:rPr>
          <w:rFonts w:ascii="PT Serif" w:hAnsi="PT Serif"/>
          <w:sz w:val="23"/>
        </w:rPr>
      </w:pPr>
      <w:r>
        <w:rPr>
          <w:rFonts w:ascii="PT Serif" w:hAnsi="PT Serif"/>
          <w:sz w:val="23"/>
        </w:rPr>
        <w:t xml:space="preserve">2) </w:t>
      </w:r>
      <w:r>
        <w:rPr>
          <w:rFonts w:ascii="PT Serif" w:hAnsi="PT Serif"/>
          <w:b w:val="0"/>
          <w:i w:val="0"/>
          <w:caps w:val="0"/>
          <w:color w:val="22272F"/>
          <w:spacing w:val="0"/>
          <w:sz w:val="23"/>
        </w:rPr>
        <w:t> </w:t>
      </w:r>
      <w:r>
        <w:rPr>
          <w:rFonts w:ascii="PT Serif" w:hAnsi="PT Serif"/>
          <w:b w:val="0"/>
          <w:i w:val="0"/>
          <w:caps w:val="0"/>
          <w:color w:val="22272F"/>
          <w:spacing w:val="0"/>
          <w:sz w:val="23"/>
        </w:rPr>
        <w:t>лицо, обратившееся за предоставлением единовременной денежной выплаты, проживает на территории Свердловской области</w:t>
      </w:r>
      <w:r>
        <w:rPr>
          <w:rFonts w:ascii="PT Serif" w:hAnsi="PT Serif"/>
          <w:b w:val="0"/>
          <w:i w:val="0"/>
          <w:caps w:val="0"/>
          <w:color w:val="22272F"/>
          <w:spacing w:val="0"/>
          <w:sz w:val="23"/>
        </w:rPr>
        <w:t> </w:t>
      </w:r>
      <w:r>
        <w:rPr>
          <w:rFonts w:ascii="PT Serif" w:hAnsi="PT Serif"/>
          <w:b w:val="0"/>
          <w:i w:val="0"/>
          <w:caps w:val="0"/>
          <w:color w:val="22272F"/>
          <w:spacing w:val="0"/>
          <w:sz w:val="23"/>
        </w:rPr>
        <w:t>на дату гибели (смерти) сотрудника организации, содействующей выполнению задач, и (или)</w:t>
      </w:r>
      <w:r>
        <w:rPr>
          <w:rFonts w:ascii="PT Serif" w:hAnsi="PT Serif"/>
          <w:b w:val="0"/>
          <w:i w:val="0"/>
          <w:caps w:val="0"/>
          <w:color w:val="22272F"/>
          <w:spacing w:val="0"/>
          <w:sz w:val="23"/>
        </w:rPr>
        <w:t> </w:t>
      </w:r>
      <w:r>
        <w:rPr>
          <w:rFonts w:ascii="PT Serif" w:hAnsi="PT Serif"/>
          <w:b w:val="0"/>
          <w:i w:val="0"/>
          <w:caps w:val="0"/>
          <w:color w:val="22272F"/>
          <w:spacing w:val="0"/>
          <w:sz w:val="23"/>
        </w:rPr>
        <w:t>сотрудник организации, содействующей выполнению задач, был зарегистрирован по месту жительства (пребывания) на территории Свердловской области на дату его гибели (смерти)</w:t>
      </w:r>
      <w:r>
        <w:rPr>
          <w:rFonts w:ascii="PT Serif" w:hAnsi="PT Serif"/>
          <w:sz w:val="23"/>
        </w:rPr>
        <w:t>;</w:t>
      </w:r>
    </w:p>
    <w:p w14:paraId="15000000">
      <w:pPr>
        <w:ind/>
        <w:jc w:val="both"/>
        <w:rPr>
          <w:rFonts w:ascii="PT Serif" w:hAnsi="PT Serif"/>
          <w:sz w:val="23"/>
        </w:rPr>
      </w:pPr>
      <w:r>
        <w:rPr>
          <w:rFonts w:ascii="PT Serif" w:hAnsi="PT Serif"/>
          <w:sz w:val="23"/>
        </w:rPr>
        <w:t>3) обращение за предоставлением выплаты последовало не позднее 12 месяцев со дня регистрации в управлении социальной поли</w:t>
      </w:r>
      <w:r>
        <w:rPr>
          <w:rFonts w:ascii="PT Serif" w:hAnsi="PT Serif"/>
          <w:sz w:val="23"/>
        </w:rPr>
        <w:t>тики первого заявления о предоставлении</w:t>
      </w:r>
      <w:r>
        <w:rPr>
          <w:rFonts w:ascii="PT Serif" w:hAnsi="PT Serif"/>
          <w:sz w:val="23"/>
        </w:rPr>
        <w:t xml:space="preserve"> такой</w:t>
      </w:r>
      <w:r>
        <w:rPr>
          <w:rFonts w:ascii="PT Serif" w:hAnsi="PT Serif"/>
          <w:sz w:val="23"/>
        </w:rPr>
        <w:t xml:space="preserve"> выплаты </w:t>
      </w:r>
      <w:r>
        <w:rPr>
          <w:rFonts w:ascii="PT Serif" w:hAnsi="PT Serif"/>
          <w:sz w:val="23"/>
        </w:rPr>
        <w:t xml:space="preserve">другому </w:t>
      </w:r>
      <w:r>
        <w:rPr>
          <w:rFonts w:ascii="PT Serif" w:hAnsi="PT Serif"/>
          <w:sz w:val="23"/>
        </w:rPr>
        <w:t>члену семьи.</w:t>
      </w:r>
    </w:p>
    <w:p w14:paraId="16000000">
      <w:pPr>
        <w:ind/>
        <w:jc w:val="both"/>
        <w:rPr>
          <w:rFonts w:ascii="PT Serif" w:hAnsi="PT Serif"/>
          <w:sz w:val="23"/>
        </w:rPr>
      </w:pPr>
    </w:p>
    <w:p w14:paraId="17000000">
      <w:pPr>
        <w:rPr>
          <w:rFonts w:ascii="PT Serif" w:hAnsi="PT Serif"/>
          <w:b w:val="1"/>
          <w:sz w:val="24"/>
          <w:u w:val="single"/>
        </w:rPr>
      </w:pPr>
      <w:r>
        <w:rPr>
          <w:rFonts w:ascii="PT Serif" w:hAnsi="PT Serif"/>
          <w:b w:val="1"/>
          <w:sz w:val="24"/>
          <w:u w:val="single"/>
        </w:rPr>
        <w:t>Условия предоставления выплаты членам семьи погибшего (</w:t>
      </w:r>
      <w:r>
        <w:rPr>
          <w:rFonts w:ascii="PT Serif" w:hAnsi="PT Serif"/>
          <w:b w:val="1"/>
          <w:sz w:val="24"/>
          <w:u w:val="single"/>
        </w:rPr>
        <w:t>умершего) лица</w:t>
      </w:r>
      <w:r>
        <w:rPr>
          <w:rFonts w:ascii="PT Serif" w:hAnsi="PT Serif"/>
          <w:b w:val="1"/>
          <w:sz w:val="24"/>
          <w:u w:val="single"/>
        </w:rPr>
        <w:t>, заключившего контракт:</w:t>
      </w:r>
    </w:p>
    <w:p w14:paraId="18000000">
      <w:pPr>
        <w:ind/>
        <w:jc w:val="both"/>
        <w:rPr>
          <w:rFonts w:ascii="PT Serif" w:hAnsi="PT Serif"/>
          <w:sz w:val="23"/>
        </w:rPr>
      </w:pPr>
      <w:r>
        <w:rPr>
          <w:rFonts w:ascii="PT Serif" w:hAnsi="PT Serif"/>
          <w:sz w:val="23"/>
        </w:rPr>
        <w:t>1) лицо, заключившее контракт, убыло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и в период с 15 июня 2024 года по 31 декабря 2025 года заключило контракт о прохождении военной службы с Министерством обороны Российской Федерации;</w:t>
      </w:r>
    </w:p>
    <w:p w14:paraId="19000000">
      <w:pPr>
        <w:ind/>
        <w:jc w:val="both"/>
        <w:rPr>
          <w:rFonts w:ascii="PT Serif" w:hAnsi="PT Serif"/>
          <w:sz w:val="23"/>
        </w:rPr>
      </w:pPr>
      <w:r>
        <w:rPr>
          <w:rFonts w:ascii="PT Serif" w:hAnsi="PT Serif"/>
          <w:sz w:val="23"/>
        </w:rPr>
        <w:t xml:space="preserve">2) гибель (смерть) в связи с исполнением обязанностей военной службы в ходе СВО, по отражению вооруженного вторжения, а также по отражению вооруженной провокации </w:t>
      </w:r>
      <w:r>
        <w:rPr>
          <w:rFonts w:ascii="PT Serif" w:hAnsi="PT Serif"/>
          <w:sz w:val="23"/>
          <w:u w:val="single"/>
        </w:rPr>
        <w:t>либо смерть вследствие ранения (увечья, травмы, контузии) или заболевания</w:t>
      </w:r>
      <w:r>
        <w:rPr>
          <w:rFonts w:ascii="PT Serif" w:hAnsi="PT Serif"/>
          <w:sz w:val="23"/>
        </w:rPr>
        <w:t>, полученных при исполнении обязанностей военной службы в ходе СВО, выполнения задач по отражению вооруженного вторжения, а также по отражению вооруженной провокации;</w:t>
      </w:r>
    </w:p>
    <w:p w14:paraId="1A000000">
      <w:pPr>
        <w:ind/>
        <w:jc w:val="both"/>
        <w:rPr>
          <w:rFonts w:ascii="PT Serif" w:hAnsi="PT Serif"/>
          <w:sz w:val="23"/>
        </w:rPr>
      </w:pPr>
      <w:r>
        <w:rPr>
          <w:rFonts w:ascii="PT Serif" w:hAnsi="PT Serif"/>
          <w:sz w:val="23"/>
        </w:rPr>
        <w:t xml:space="preserve">3) обращение за предоставлением выплаты последовало не позднее 12 месяцев со дня регистрации в управлении социальной политики первого заявления о предоставлении </w:t>
      </w:r>
      <w:r>
        <w:rPr>
          <w:rFonts w:ascii="PT Serif" w:hAnsi="PT Serif"/>
          <w:sz w:val="23"/>
        </w:rPr>
        <w:t>такой выплаты</w:t>
      </w:r>
      <w:r>
        <w:rPr>
          <w:rFonts w:ascii="PT Serif" w:hAnsi="PT Serif"/>
          <w:sz w:val="23"/>
        </w:rPr>
        <w:t xml:space="preserve"> </w:t>
      </w:r>
      <w:r>
        <w:rPr>
          <w:rFonts w:ascii="PT Serif" w:hAnsi="PT Serif"/>
          <w:sz w:val="23"/>
        </w:rPr>
        <w:t xml:space="preserve">другому </w:t>
      </w:r>
      <w:r>
        <w:rPr>
          <w:rFonts w:ascii="PT Serif" w:hAnsi="PT Serif"/>
          <w:sz w:val="23"/>
        </w:rPr>
        <w:t>члену семьи.</w:t>
      </w:r>
    </w:p>
    <w:p w14:paraId="1B000000">
      <w:pPr>
        <w:ind w:firstLine="708"/>
        <w:jc w:val="both"/>
        <w:rPr>
          <w:rFonts w:ascii="PT Serif" w:hAnsi="PT Serif"/>
          <w:sz w:val="23"/>
        </w:rPr>
      </w:pPr>
    </w:p>
    <w:p w14:paraId="1C000000">
      <w:pPr>
        <w:rPr>
          <w:rFonts w:ascii="PT Serif" w:hAnsi="PT Serif"/>
          <w:b w:val="1"/>
          <w:sz w:val="24"/>
          <w:highlight w:val="white"/>
          <w:u w:val="single"/>
        </w:rPr>
      </w:pPr>
      <w:r>
        <w:rPr>
          <w:rFonts w:ascii="PT Serif" w:hAnsi="PT Serif"/>
          <w:b w:val="1"/>
          <w:sz w:val="24"/>
          <w:highlight w:val="white"/>
          <w:u w:val="single"/>
        </w:rPr>
        <w:t>Единовременная денежная выплата предоставляется членам семьи погибшего (умершего) участника СВО, добровольца, сотрудника организации, содействующей выполнению задач, являющимися:</w:t>
      </w:r>
    </w:p>
    <w:p w14:paraId="1D000000">
      <w:pPr>
        <w:ind/>
        <w:jc w:val="both"/>
        <w:rPr>
          <w:rFonts w:ascii="PT Serif" w:hAnsi="PT Serif"/>
          <w:sz w:val="23"/>
        </w:rPr>
      </w:pPr>
      <w:r>
        <w:rPr>
          <w:rFonts w:ascii="PT Serif" w:hAnsi="PT Serif"/>
          <w:sz w:val="23"/>
        </w:rPr>
        <w:t>1) супругой (супругом), состоявшей (состоявшим) на день гибели (смерти)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в зарегистрированном браке с ним;</w:t>
      </w:r>
    </w:p>
    <w:p w14:paraId="1E000000">
      <w:pPr>
        <w:ind/>
        <w:jc w:val="both"/>
        <w:rPr>
          <w:rFonts w:ascii="PT Serif" w:hAnsi="PT Serif"/>
          <w:sz w:val="23"/>
        </w:rPr>
      </w:pPr>
      <w:r>
        <w:rPr>
          <w:rFonts w:ascii="PT Serif" w:hAnsi="PT Serif"/>
          <w:sz w:val="23"/>
        </w:rPr>
        <w:t>2) родителем (усыновителем);</w:t>
      </w:r>
    </w:p>
    <w:p w14:paraId="1F000000">
      <w:pPr>
        <w:ind/>
        <w:jc w:val="both"/>
        <w:rPr>
          <w:rFonts w:ascii="PT Serif" w:hAnsi="PT Serif"/>
          <w:sz w:val="23"/>
        </w:rPr>
      </w:pPr>
      <w:r>
        <w:rPr>
          <w:rFonts w:ascii="PT Serif" w:hAnsi="PT Serif"/>
          <w:sz w:val="23"/>
        </w:rPr>
        <w:t>3) ребенком;</w:t>
      </w:r>
    </w:p>
    <w:p w14:paraId="20000000">
      <w:pPr>
        <w:ind/>
        <w:jc w:val="both"/>
        <w:rPr>
          <w:rFonts w:ascii="PT Serif" w:hAnsi="PT Serif"/>
          <w:sz w:val="23"/>
          <w:u w:val="single"/>
        </w:rPr>
      </w:pPr>
      <w:r>
        <w:rPr>
          <w:rFonts w:ascii="PT Serif" w:hAnsi="PT Serif"/>
          <w:sz w:val="23"/>
        </w:rPr>
        <w:t xml:space="preserve">4) дедушкой и (или) бабушкой, в случае если дедушка и (или) бабушка, являлись его опекунами (попечителями) </w:t>
      </w:r>
      <w:r>
        <w:rPr>
          <w:rFonts w:ascii="PT Serif" w:hAnsi="PT Serif"/>
          <w:sz w:val="23"/>
          <w:u w:val="single"/>
        </w:rPr>
        <w:t>не менее 3 лет;</w:t>
      </w:r>
    </w:p>
    <w:p w14:paraId="21000000">
      <w:pPr>
        <w:ind/>
        <w:jc w:val="both"/>
        <w:rPr>
          <w:rFonts w:ascii="PT Serif" w:hAnsi="PT Serif"/>
          <w:sz w:val="23"/>
          <w:u w:val="single"/>
        </w:rPr>
      </w:pPr>
      <w:r>
        <w:rPr>
          <w:rFonts w:ascii="PT Serif" w:hAnsi="PT Serif"/>
          <w:sz w:val="23"/>
        </w:rPr>
        <w:t xml:space="preserve">5) лицом, являвшимся попечителем в </w:t>
      </w:r>
      <w:r>
        <w:rPr>
          <w:rFonts w:ascii="PT Serif" w:hAnsi="PT Serif"/>
          <w:sz w:val="23"/>
          <w:u w:val="single"/>
        </w:rPr>
        <w:t>течение не менее 3 лет</w:t>
      </w:r>
      <w:r>
        <w:rPr>
          <w:rFonts w:ascii="PT Serif" w:hAnsi="PT Serif"/>
          <w:sz w:val="23"/>
        </w:rPr>
        <w:t xml:space="preserve">, непосредственно предшествующих достижению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w:t>
      </w:r>
      <w:r>
        <w:rPr>
          <w:rFonts w:ascii="PT Serif" w:hAnsi="PT Serif"/>
          <w:sz w:val="23"/>
          <w:u w:val="single"/>
        </w:rPr>
        <w:t>совершеннолетия;</w:t>
      </w:r>
    </w:p>
    <w:p w14:paraId="22000000">
      <w:pPr>
        <w:ind/>
        <w:jc w:val="both"/>
        <w:rPr>
          <w:rFonts w:ascii="PT Serif" w:hAnsi="PT Serif"/>
          <w:sz w:val="23"/>
        </w:rPr>
      </w:pPr>
      <w:r>
        <w:rPr>
          <w:rFonts w:ascii="PT Serif" w:hAnsi="PT Serif"/>
          <w:sz w:val="23"/>
        </w:rPr>
        <w:t xml:space="preserve">6) лицом, признанным фактически воспитывавшим и содержавшим участника СВО, лицо, выполнявшее задачи по отражению вооруженного вторжения, лицо, заключившее контракт, добровольца, сотрудника организации, содействующей выполнению задач, </w:t>
      </w:r>
      <w:r>
        <w:rPr>
          <w:rFonts w:ascii="PT Serif" w:hAnsi="PT Serif"/>
          <w:sz w:val="23"/>
          <w:u w:val="single"/>
        </w:rPr>
        <w:t>в течение не менее 5 лет,</w:t>
      </w:r>
      <w:r>
        <w:rPr>
          <w:rFonts w:ascii="PT Serif" w:hAnsi="PT Serif"/>
          <w:sz w:val="23"/>
        </w:rPr>
        <w:t xml:space="preserve"> непосредственно предшествующих достижению участником СВО, лицом, выполнявшим задачи по отражению вооруженного вторжения, лицом, заключившим контракт, добровольцем, сотрудником организации, содействующей выполнению задач, с</w:t>
      </w:r>
      <w:r>
        <w:rPr>
          <w:rFonts w:ascii="PT Serif" w:hAnsi="PT Serif"/>
          <w:sz w:val="23"/>
          <w:u w:val="single"/>
        </w:rPr>
        <w:t>овершеннолетия</w:t>
      </w:r>
      <w:r>
        <w:rPr>
          <w:rFonts w:ascii="PT Serif" w:hAnsi="PT Serif"/>
          <w:sz w:val="23"/>
        </w:rPr>
        <w:t>.</w:t>
      </w:r>
    </w:p>
    <w:p w14:paraId="23000000">
      <w:pPr>
        <w:ind w:firstLine="708"/>
        <w:jc w:val="both"/>
        <w:rPr>
          <w:rFonts w:ascii="PT Serif" w:hAnsi="PT Serif"/>
          <w:b w:val="1"/>
          <w:sz w:val="23"/>
        </w:rPr>
      </w:pPr>
    </w:p>
    <w:p w14:paraId="24000000">
      <w:pPr>
        <w:ind/>
        <w:jc w:val="both"/>
        <w:rPr>
          <w:rFonts w:ascii="PT Serif" w:hAnsi="PT Serif"/>
          <w:b w:val="1"/>
          <w:sz w:val="24"/>
          <w:u w:val="single"/>
        </w:rPr>
      </w:pPr>
      <w:r>
        <w:rPr>
          <w:rFonts w:ascii="PT Serif" w:hAnsi="PT Serif"/>
          <w:b w:val="1"/>
          <w:sz w:val="24"/>
          <w:u w:val="single"/>
        </w:rPr>
        <w:t>Порядок предоставления выплаты:</w:t>
      </w:r>
    </w:p>
    <w:p w14:paraId="25000000">
      <w:pPr>
        <w:ind/>
        <w:jc w:val="both"/>
        <w:rPr>
          <w:rFonts w:ascii="PT Serif" w:hAnsi="PT Serif"/>
          <w:color w:val="22272F"/>
          <w:sz w:val="23"/>
        </w:rPr>
      </w:pPr>
      <w:r>
        <w:rPr>
          <w:rFonts w:ascii="PT Serif" w:hAnsi="PT Serif"/>
          <w:color w:val="22272F"/>
          <w:sz w:val="23"/>
        </w:rPr>
        <w:t xml:space="preserve">Предоставление единовременной денежной выплаты осуществляется управлением социальной политики по месту жительства (пребывания) лица, имеющего право на получение выплаты, либо по месту регистрации участника СВО, лица, выполнявшего задачи по отражению вооруженного вторжения, лица, заключившего контракт, добровольца, сотрудника организации, содействующей выполнению задач, по месту жительства (пребывания) на день его гибели (смерти), </w:t>
      </w:r>
      <w:r>
        <w:rPr>
          <w:rFonts w:ascii="PT Serif" w:hAnsi="PT Serif"/>
          <w:b w:val="1"/>
          <w:color w:val="22272F"/>
          <w:sz w:val="23"/>
        </w:rPr>
        <w:t>либо управлением социальной политики по выбору заявителя - в случае если лицо, заключившее контракт, на день его гибели (смерти) и члены его семьи не проживали на территории Свердловской области.</w:t>
      </w:r>
    </w:p>
    <w:p w14:paraId="26000000">
      <w:pPr>
        <w:ind w:firstLine="708"/>
        <w:jc w:val="both"/>
        <w:rPr>
          <w:rFonts w:ascii="PT Serif" w:hAnsi="PT Serif"/>
          <w:sz w:val="23"/>
          <w:highlight w:val="white"/>
        </w:rPr>
      </w:pPr>
    </w:p>
    <w:p w14:paraId="27000000">
      <w:pPr>
        <w:ind/>
        <w:jc w:val="both"/>
        <w:rPr>
          <w:sz w:val="24"/>
        </w:rPr>
      </w:pPr>
      <w:r>
        <w:rPr>
          <w:rFonts w:ascii="PT Serif" w:hAnsi="PT Serif"/>
          <w:b w:val="1"/>
          <w:sz w:val="24"/>
          <w:u w:color="000000" w:val="single"/>
        </w:rPr>
        <w:t>Способы подачи заявления:</w:t>
      </w:r>
    </w:p>
    <w:p w14:paraId="28000000">
      <w:pPr>
        <w:ind/>
        <w:jc w:val="both"/>
      </w:pPr>
      <w:bookmarkStart w:id="3" w:name="_GoBack"/>
      <w:bookmarkEnd w:id="3"/>
      <w:r>
        <w:rPr>
          <w:rFonts w:ascii="PT Serif" w:hAnsi="PT Serif"/>
          <w:sz w:val="23"/>
        </w:rPr>
        <w:t>- через МФЦ;</w:t>
      </w:r>
    </w:p>
    <w:p w14:paraId="29000000">
      <w:pPr>
        <w:ind/>
        <w:jc w:val="both"/>
      </w:pPr>
      <w:r>
        <w:rPr>
          <w:rFonts w:ascii="PT Serif" w:hAnsi="PT Serif"/>
          <w:sz w:val="23"/>
        </w:rPr>
        <w:t>- с использованием Единого портала государственных и муниципальных услуг.</w:t>
      </w:r>
    </w:p>
    <w:p w14:paraId="2A000000">
      <w:pPr>
        <w:ind/>
        <w:jc w:val="both"/>
        <w:rPr>
          <w:rFonts w:ascii="PT Serif" w:hAnsi="PT Serif"/>
          <w:color w:val="22272F"/>
          <w:sz w:val="23"/>
        </w:rPr>
      </w:pPr>
    </w:p>
    <w:p w14:paraId="2B000000">
      <w:pPr>
        <w:ind/>
        <w:jc w:val="both"/>
        <w:rPr>
          <w:rFonts w:ascii="PT Serif" w:hAnsi="PT Serif"/>
          <w:color w:val="22272F"/>
          <w:sz w:val="24"/>
          <w:u w:val="single"/>
        </w:rPr>
      </w:pPr>
      <w:r>
        <w:rPr>
          <w:rFonts w:ascii="PT Serif" w:hAnsi="PT Serif"/>
          <w:color w:val="22272F"/>
          <w:sz w:val="24"/>
          <w:u w:val="single"/>
        </w:rPr>
        <w:t>К заявлению прилагаются:</w:t>
      </w:r>
    </w:p>
    <w:p w14:paraId="2C000000">
      <w:pPr>
        <w:ind/>
        <w:jc w:val="both"/>
        <w:rPr>
          <w:rFonts w:ascii="PT Serif" w:hAnsi="PT Serif"/>
          <w:color w:val="22272F"/>
          <w:sz w:val="23"/>
        </w:rPr>
      </w:pPr>
      <w:r>
        <w:rPr>
          <w:rFonts w:ascii="PT Serif" w:hAnsi="PT Serif"/>
          <w:color w:val="22272F"/>
          <w:sz w:val="23"/>
        </w:rPr>
        <w:t>1)документ, подтверждающий причинно-следственную связь смерти с ранением (увечьем, травмой, контузией) или заболеванием, полученным соответственно при исполнении обязанностей военной службы (служебных обязанностей) в ходе СВО, выполнении задач по отражению вооруженного вторжения, а также по отражению вооруженной провокации, исполнении обязанностей по контракту о пребывании в добровольческих формированиях, исполнении обязанностей по контракту (в рамках иных правоотношений) с организацией, содействующей выполнению задач;</w:t>
      </w:r>
    </w:p>
    <w:p w14:paraId="2D000000">
      <w:pPr>
        <w:ind/>
        <w:jc w:val="both"/>
        <w:rPr>
          <w:rFonts w:ascii="PT Serif" w:hAnsi="PT Serif"/>
          <w:color w:val="22272F"/>
          <w:sz w:val="23"/>
        </w:rPr>
      </w:pPr>
      <w:r>
        <w:rPr>
          <w:rFonts w:ascii="PT Serif" w:hAnsi="PT Serif"/>
          <w:color w:val="22272F"/>
          <w:sz w:val="23"/>
        </w:rPr>
        <w:t xml:space="preserve">2) </w:t>
      </w:r>
      <w:r>
        <w:rPr>
          <w:rFonts w:ascii="PT Serif" w:hAnsi="PT Serif"/>
          <w:color w:val="22272F"/>
          <w:sz w:val="23"/>
        </w:rPr>
        <w:t>свидетельства о государственной регистрации актов гражданского состояния, подтверждающие государственную регистрацию рождения, смерти и родственные отношения заявителя и участника СВО, выданные компетентными органами иностранного государства, и их нотариально удостоверенный перевод на русский язык;</w:t>
      </w:r>
    </w:p>
    <w:p w14:paraId="2E000000">
      <w:pPr>
        <w:ind/>
        <w:jc w:val="both"/>
        <w:rPr>
          <w:rFonts w:ascii="PT Serif" w:hAnsi="PT Serif"/>
          <w:color w:val="22272F"/>
          <w:sz w:val="23"/>
        </w:rPr>
      </w:pPr>
    </w:p>
    <w:p w14:paraId="2F000000">
      <w:pPr>
        <w:ind/>
        <w:jc w:val="both"/>
        <w:rPr>
          <w:rFonts w:ascii="PT Serif" w:hAnsi="PT Serif"/>
          <w:color w:val="22272F"/>
          <w:sz w:val="24"/>
        </w:rPr>
      </w:pPr>
      <w:r>
        <w:rPr>
          <w:rFonts w:ascii="PT Serif" w:hAnsi="PT Serif"/>
          <w:b w:val="1"/>
          <w:sz w:val="24"/>
          <w:u w:val="single"/>
        </w:rPr>
        <w:t xml:space="preserve">Выплата:  </w:t>
      </w:r>
    </w:p>
    <w:p w14:paraId="30000000">
      <w:pPr>
        <w:ind/>
        <w:jc w:val="both"/>
        <w:rPr>
          <w:rFonts w:ascii="PT Serif" w:hAnsi="PT Serif"/>
          <w:sz w:val="23"/>
        </w:rPr>
      </w:pPr>
      <w:r>
        <w:rPr>
          <w:rFonts w:ascii="PT Serif" w:hAnsi="PT Serif"/>
          <w:sz w:val="23"/>
        </w:rPr>
        <w:t>осуществляется не позднее 26 числа месяца, следующего за месяцем, в котором принято решение о назначении выплаты через кредитные организации, в том числе с использованием Единой социальной карты, или организации почтовой связи по выбору заявителя.</w:t>
      </w:r>
      <w:bookmarkEnd w:id="2"/>
    </w:p>
    <w:p w14:paraId="31000000">
      <w:pPr>
        <w:ind/>
        <w:jc w:val="center"/>
        <w:rPr>
          <w:rFonts w:ascii="PT Serif" w:hAnsi="PT Serif"/>
          <w:b w:val="1"/>
          <w:i w:val="1"/>
          <w:sz w:val="23"/>
        </w:rPr>
      </w:pPr>
    </w:p>
    <w:p w14:paraId="32000000">
      <w:pPr>
        <w:ind w:firstLine="720"/>
        <w:jc w:val="both"/>
        <w:rPr>
          <w:rFonts w:ascii="PT Serif" w:hAnsi="PT Serif"/>
          <w:b w:val="1"/>
          <w:i w:val="1"/>
          <w:sz w:val="23"/>
          <w:highlight w:val="white"/>
        </w:rPr>
      </w:pPr>
      <w:r>
        <w:rPr>
          <w:rFonts w:ascii="PT Serif" w:hAnsi="PT Serif"/>
          <w:b w:val="1"/>
          <w:i w:val="1"/>
          <w:sz w:val="23"/>
          <w:highlight w:val="white"/>
        </w:rPr>
        <w:t xml:space="preserve">Постановление Правительства Свердловской области от 8 июня 2023 г. № 407-ПП </w:t>
      </w:r>
    </w:p>
    <w:p w14:paraId="33000000">
      <w:pPr>
        <w:ind/>
        <w:jc w:val="both"/>
        <w:rPr>
          <w:rFonts w:ascii="PT Serif" w:hAnsi="PT Serif"/>
          <w:b w:val="1"/>
          <w:i w:val="1"/>
          <w:color w:val="22272F"/>
          <w:sz w:val="23"/>
        </w:rPr>
      </w:pPr>
      <w:r>
        <w:rPr>
          <w:rFonts w:ascii="PT Serif" w:hAnsi="PT Serif"/>
          <w:b w:val="1"/>
          <w:i w:val="1"/>
          <w:color w:val="22272F"/>
          <w:sz w:val="23"/>
        </w:rPr>
        <w:t>«О предоставлении единовременных денежных выплат отдельным категориям лиц, принимавших участие в специальной военной операции или выполнявших задачи по отражению вооруженного вторжения на территорию Российской Федерации, а также по отражению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и членам их семей».</w:t>
      </w:r>
    </w:p>
    <w:p w14:paraId="34000000">
      <w:pPr>
        <w:ind w:firstLine="720"/>
        <w:jc w:val="center"/>
        <w:rPr>
          <w:rFonts w:ascii="PT Serif" w:hAnsi="PT Serif"/>
          <w:b w:val="1"/>
          <w:i w:val="1"/>
          <w:sz w:val="23"/>
        </w:rPr>
      </w:pPr>
    </w:p>
    <w:p w14:paraId="35000000">
      <w:pPr>
        <w:widowControl w:val="0"/>
        <w:ind/>
      </w:pPr>
    </w:p>
    <w:p w14:paraId="36000000">
      <w:pPr>
        <w:spacing w:line="288" w:lineRule="auto"/>
        <w:ind/>
        <w:jc w:val="center"/>
      </w:pPr>
    </w:p>
    <w:p w14:paraId="37000000">
      <w:pPr>
        <w:spacing w:line="288" w:lineRule="auto"/>
        <w:ind/>
        <w:jc w:val="center"/>
        <w:rPr>
          <w:rFonts w:ascii="Liberation Serif" w:hAnsi="Liberation Serif"/>
        </w:rPr>
      </w:pPr>
    </w:p>
    <w:sectPr>
      <w:pgSz w:h="16838" w:orient="portrait" w:w="11906"/>
      <w:pgMar w:bottom="284" w:footer="708" w:gutter="0" w:header="708" w:left="709" w:right="566" w:top="426"/>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style>
  <w:style w:default="1" w:styleId="Style_4_ch" w:type="character">
    <w:name w:val="Normal"/>
    <w:link w:val="Style_4"/>
  </w:style>
  <w:style w:styleId="Style_2" w:type="paragraph">
    <w:name w:val="s_16"/>
    <w:basedOn w:val="Style_4"/>
    <w:link w:val="Style_2_ch"/>
    <w:pPr>
      <w:spacing w:afterAutospacing="on" w:beforeAutospacing="on"/>
      <w:ind/>
    </w:pPr>
    <w:rPr>
      <w:sz w:val="24"/>
    </w:rPr>
  </w:style>
  <w:style w:styleId="Style_2_ch" w:type="character">
    <w:name w:val="s_16"/>
    <w:basedOn w:val="Style_4_ch"/>
    <w:link w:val="Style_2"/>
    <w:rPr>
      <w:sz w:val="24"/>
    </w:rPr>
  </w:style>
  <w:style w:styleId="Style_5" w:type="paragraph">
    <w:name w:val="toc 2"/>
    <w:next w:val="Style_4"/>
    <w:link w:val="Style_5_ch"/>
    <w:uiPriority w:val="39"/>
    <w:pPr>
      <w:ind w:left="200"/>
    </w:pPr>
    <w:rPr>
      <w:rFonts w:ascii="XO Thames" w:hAnsi="XO Thames"/>
      <w:sz w:val="28"/>
    </w:rPr>
  </w:style>
  <w:style w:styleId="Style_5_ch" w:type="character">
    <w:name w:val="toc 2"/>
    <w:link w:val="Style_5"/>
    <w:rPr>
      <w:rFonts w:ascii="XO Thames" w:hAnsi="XO Thames"/>
      <w:sz w:val="28"/>
    </w:rPr>
  </w:style>
  <w:style w:styleId="Style_6" w:type="paragraph">
    <w:name w:val="Balloon Text"/>
    <w:basedOn w:val="Style_4"/>
    <w:link w:val="Style_6_ch"/>
    <w:rPr>
      <w:rFonts w:ascii="Segoe UI" w:hAnsi="Segoe UI"/>
      <w:sz w:val="18"/>
    </w:rPr>
  </w:style>
  <w:style w:styleId="Style_6_ch" w:type="character">
    <w:name w:val="Balloon Text"/>
    <w:basedOn w:val="Style_4_ch"/>
    <w:link w:val="Style_6"/>
    <w:rPr>
      <w:rFonts w:ascii="Segoe UI" w:hAnsi="Segoe UI"/>
      <w:sz w:val="18"/>
    </w:rPr>
  </w:style>
  <w:style w:styleId="Style_7" w:type="paragraph">
    <w:name w:val="toc 4"/>
    <w:next w:val="Style_4"/>
    <w:link w:val="Style_7_ch"/>
    <w:uiPriority w:val="39"/>
    <w:pPr>
      <w:ind w:left="600"/>
    </w:pPr>
    <w:rPr>
      <w:rFonts w:ascii="XO Thames" w:hAnsi="XO Thames"/>
      <w:sz w:val="28"/>
    </w:rPr>
  </w:style>
  <w:style w:styleId="Style_7_ch" w:type="character">
    <w:name w:val="toc 4"/>
    <w:link w:val="Style_7"/>
    <w:rPr>
      <w:rFonts w:ascii="XO Thames" w:hAnsi="XO Thames"/>
      <w:sz w:val="28"/>
    </w:rPr>
  </w:style>
  <w:style w:styleId="Style_8" w:type="paragraph">
    <w:name w:val="toc 6"/>
    <w:next w:val="Style_4"/>
    <w:link w:val="Style_8_ch"/>
    <w:uiPriority w:val="39"/>
    <w:pPr>
      <w:ind w:left="1000"/>
    </w:pPr>
    <w:rPr>
      <w:rFonts w:ascii="XO Thames" w:hAnsi="XO Thames"/>
      <w:sz w:val="28"/>
    </w:rPr>
  </w:style>
  <w:style w:styleId="Style_8_ch" w:type="character">
    <w:name w:val="toc 6"/>
    <w:link w:val="Style_8"/>
    <w:rPr>
      <w:rFonts w:ascii="XO Thames" w:hAnsi="XO Thames"/>
      <w:sz w:val="28"/>
    </w:rPr>
  </w:style>
  <w:style w:styleId="Style_9" w:type="paragraph">
    <w:name w:val="toc 7"/>
    <w:next w:val="Style_4"/>
    <w:link w:val="Style_9_ch"/>
    <w:uiPriority w:val="39"/>
    <w:pPr>
      <w:ind w:left="1200"/>
    </w:pPr>
    <w:rPr>
      <w:rFonts w:ascii="XO Thames" w:hAnsi="XO Thames"/>
      <w:sz w:val="28"/>
    </w:rPr>
  </w:style>
  <w:style w:styleId="Style_9_ch" w:type="character">
    <w:name w:val="toc 7"/>
    <w:link w:val="Style_9"/>
    <w:rPr>
      <w:rFonts w:ascii="XO Thames" w:hAnsi="XO Thames"/>
      <w:sz w:val="28"/>
    </w:rPr>
  </w:style>
  <w:style w:styleId="Style_10" w:type="paragraph">
    <w:name w:val="Endnote"/>
    <w:link w:val="Style_10_ch"/>
    <w:pPr>
      <w:ind w:firstLine="851"/>
      <w:jc w:val="both"/>
    </w:pPr>
    <w:rPr>
      <w:rFonts w:ascii="XO Thames" w:hAnsi="XO Thames"/>
      <w:sz w:val="22"/>
    </w:rPr>
  </w:style>
  <w:style w:styleId="Style_10_ch" w:type="character">
    <w:name w:val="Endnote"/>
    <w:link w:val="Style_10"/>
    <w:rPr>
      <w:rFonts w:ascii="XO Thames" w:hAnsi="XO Thames"/>
      <w:sz w:val="22"/>
    </w:rPr>
  </w:style>
  <w:style w:styleId="Style_11" w:type="paragraph">
    <w:name w:val="heading 3"/>
    <w:next w:val="Style_4"/>
    <w:link w:val="Style_11_ch"/>
    <w:uiPriority w:val="9"/>
    <w:qFormat/>
    <w:pPr>
      <w:spacing w:after="120" w:before="120"/>
      <w:ind/>
      <w:jc w:val="both"/>
      <w:outlineLvl w:val="2"/>
    </w:pPr>
    <w:rPr>
      <w:rFonts w:ascii="XO Thames" w:hAnsi="XO Thames"/>
      <w:b w:val="1"/>
      <w:sz w:val="26"/>
    </w:rPr>
  </w:style>
  <w:style w:styleId="Style_11_ch" w:type="character">
    <w:name w:val="heading 3"/>
    <w:link w:val="Style_11"/>
    <w:rPr>
      <w:rFonts w:ascii="XO Thames" w:hAnsi="XO Thames"/>
      <w:b w:val="1"/>
      <w:sz w:val="26"/>
    </w:rPr>
  </w:style>
  <w:style w:styleId="Style_12" w:type="paragraph">
    <w:name w:val="Гиперссылка1"/>
    <w:link w:val="Style_12_ch"/>
    <w:rPr>
      <w:color w:val="0000FF"/>
      <w:u w:val="single"/>
    </w:rPr>
  </w:style>
  <w:style w:styleId="Style_12_ch" w:type="character">
    <w:name w:val="Гиперссылка1"/>
    <w:link w:val="Style_12"/>
    <w:rPr>
      <w:color w:val="0000FF"/>
      <w:u w:val="single"/>
    </w:rPr>
  </w:style>
  <w:style w:styleId="Style_13" w:type="paragraph">
    <w:name w:val="toc 3"/>
    <w:next w:val="Style_4"/>
    <w:link w:val="Style_13_ch"/>
    <w:uiPriority w:val="39"/>
    <w:pPr>
      <w:ind w:left="400"/>
    </w:pPr>
    <w:rPr>
      <w:rFonts w:ascii="XO Thames" w:hAnsi="XO Thames"/>
      <w:sz w:val="28"/>
    </w:rPr>
  </w:style>
  <w:style w:styleId="Style_13_ch" w:type="character">
    <w:name w:val="toc 3"/>
    <w:link w:val="Style_13"/>
    <w:rPr>
      <w:rFonts w:ascii="XO Thames" w:hAnsi="XO Thames"/>
      <w:sz w:val="28"/>
    </w:rPr>
  </w:style>
  <w:style w:styleId="Style_3" w:type="paragraph">
    <w:name w:val="s_1"/>
    <w:basedOn w:val="Style_4"/>
    <w:link w:val="Style_3_ch"/>
    <w:pPr>
      <w:spacing w:afterAutospacing="on" w:beforeAutospacing="on"/>
      <w:ind/>
    </w:pPr>
    <w:rPr>
      <w:sz w:val="24"/>
    </w:rPr>
  </w:style>
  <w:style w:styleId="Style_3_ch" w:type="character">
    <w:name w:val="s_1"/>
    <w:basedOn w:val="Style_4_ch"/>
    <w:link w:val="Style_3"/>
    <w:rPr>
      <w:sz w:val="24"/>
    </w:rPr>
  </w:style>
  <w:style w:styleId="Style_14" w:type="paragraph">
    <w:name w:val="Обычный1"/>
    <w:link w:val="Style_14_ch"/>
  </w:style>
  <w:style w:styleId="Style_14_ch" w:type="character">
    <w:name w:val="Обычный1"/>
    <w:link w:val="Style_14"/>
  </w:style>
  <w:style w:styleId="Style_15" w:type="paragraph">
    <w:name w:val="heading 5"/>
    <w:next w:val="Style_4"/>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16" w:type="paragraph">
    <w:name w:val="Просмотренная гиперссылка1"/>
    <w:basedOn w:val="Style_17"/>
    <w:link w:val="Style_16_ch"/>
    <w:rPr>
      <w:color w:themeColor="followedHyperlink" w:val="954F72"/>
      <w:u w:val="single"/>
    </w:rPr>
  </w:style>
  <w:style w:styleId="Style_16_ch" w:type="character">
    <w:name w:val="Просмотренная гиперссылка1"/>
    <w:basedOn w:val="Style_17_ch"/>
    <w:link w:val="Style_16"/>
    <w:rPr>
      <w:color w:themeColor="followedHyperlink" w:val="954F72"/>
      <w:u w:val="single"/>
    </w:rPr>
  </w:style>
  <w:style w:styleId="Style_18" w:type="paragraph">
    <w:name w:val="heading 1"/>
    <w:next w:val="Style_4"/>
    <w:link w:val="Style_18_ch"/>
    <w:uiPriority w:val="9"/>
    <w:qFormat/>
    <w:pPr>
      <w:spacing w:after="120" w:before="120"/>
      <w:ind/>
      <w:jc w:val="both"/>
      <w:outlineLvl w:val="0"/>
    </w:pPr>
    <w:rPr>
      <w:rFonts w:ascii="XO Thames" w:hAnsi="XO Thames"/>
      <w:b w:val="1"/>
      <w:sz w:val="32"/>
    </w:rPr>
  </w:style>
  <w:style w:styleId="Style_18_ch" w:type="character">
    <w:name w:val="heading 1"/>
    <w:link w:val="Style_18"/>
    <w:rPr>
      <w:rFonts w:ascii="XO Thames" w:hAnsi="XO Thames"/>
      <w:b w:val="1"/>
      <w:sz w:val="32"/>
    </w:rPr>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link w:val="Style_20_ch"/>
    <w:pPr>
      <w:ind w:firstLine="851"/>
      <w:jc w:val="both"/>
    </w:pPr>
    <w:rPr>
      <w:rFonts w:ascii="XO Thames" w:hAnsi="XO Thames"/>
      <w:sz w:val="22"/>
    </w:rPr>
  </w:style>
  <w:style w:styleId="Style_20_ch" w:type="character">
    <w:name w:val="Footnote"/>
    <w:link w:val="Style_20"/>
    <w:rPr>
      <w:rFonts w:ascii="XO Thames" w:hAnsi="XO Thames"/>
      <w:sz w:val="22"/>
    </w:rPr>
  </w:style>
  <w:style w:styleId="Style_21" w:type="paragraph">
    <w:name w:val="toc 1"/>
    <w:next w:val="Style_4"/>
    <w:link w:val="Style_21_ch"/>
    <w:uiPriority w:val="39"/>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ind/>
      <w:jc w:val="both"/>
    </w:pPr>
    <w:rPr>
      <w:rFonts w:ascii="XO Thames" w:hAnsi="XO Thames"/>
      <w:sz w:val="28"/>
    </w:rPr>
  </w:style>
  <w:style w:styleId="Style_22_ch" w:type="character">
    <w:name w:val="Header and Footer"/>
    <w:link w:val="Style_22"/>
    <w:rPr>
      <w:rFonts w:ascii="XO Thames" w:hAnsi="XO Thames"/>
      <w:sz w:val="28"/>
    </w:rPr>
  </w:style>
  <w:style w:styleId="Style_23" w:type="paragraph">
    <w:name w:val="toc 9"/>
    <w:next w:val="Style_4"/>
    <w:link w:val="Style_23_ch"/>
    <w:uiPriority w:val="39"/>
    <w:pPr>
      <w:ind w:left="1600"/>
    </w:pPr>
    <w:rPr>
      <w:rFonts w:ascii="XO Thames" w:hAnsi="XO Thames"/>
      <w:sz w:val="28"/>
    </w:rPr>
  </w:style>
  <w:style w:styleId="Style_23_ch" w:type="character">
    <w:name w:val="toc 9"/>
    <w:link w:val="Style_23"/>
    <w:rPr>
      <w:rFonts w:ascii="XO Thames" w:hAnsi="XO Thames"/>
      <w:sz w:val="28"/>
    </w:rPr>
  </w:style>
  <w:style w:styleId="Style_24" w:type="paragraph">
    <w:name w:val="toc 8"/>
    <w:next w:val="Style_4"/>
    <w:link w:val="Style_24_ch"/>
    <w:uiPriority w:val="39"/>
    <w:pPr>
      <w:ind w:left="1400"/>
    </w:pPr>
    <w:rPr>
      <w:rFonts w:ascii="XO Thames" w:hAnsi="XO Thames"/>
      <w:sz w:val="28"/>
    </w:rPr>
  </w:style>
  <w:style w:styleId="Style_24_ch" w:type="character">
    <w:name w:val="toc 8"/>
    <w:link w:val="Style_24"/>
    <w:rPr>
      <w:rFonts w:ascii="XO Thames" w:hAnsi="XO Thames"/>
      <w:sz w:val="28"/>
    </w:rPr>
  </w:style>
  <w:style w:styleId="Style_25" w:type="paragraph">
    <w:name w:val="toc 5"/>
    <w:next w:val="Style_4"/>
    <w:link w:val="Style_25_ch"/>
    <w:uiPriority w:val="39"/>
    <w:pPr>
      <w:ind w:left="800"/>
    </w:pPr>
    <w:rPr>
      <w:rFonts w:ascii="XO Thames" w:hAnsi="XO Thames"/>
      <w:sz w:val="28"/>
    </w:rPr>
  </w:style>
  <w:style w:styleId="Style_25_ch" w:type="character">
    <w:name w:val="toc 5"/>
    <w:link w:val="Style_25"/>
    <w:rPr>
      <w:rFonts w:ascii="XO Thames" w:hAnsi="XO Thames"/>
      <w:sz w:val="28"/>
    </w:rPr>
  </w:style>
  <w:style w:styleId="Style_26" w:type="paragraph">
    <w:name w:val="Default Paragraph Font"/>
    <w:link w:val="Style_26_ch"/>
  </w:style>
  <w:style w:styleId="Style_26_ch" w:type="character">
    <w:name w:val="Default Paragraph Font"/>
    <w:link w:val="Style_26"/>
  </w:style>
  <w:style w:styleId="Style_27" w:type="paragraph">
    <w:name w:val="Subtitle"/>
    <w:next w:val="Style_4"/>
    <w:link w:val="Style_27_ch"/>
    <w:uiPriority w:val="11"/>
    <w:qFormat/>
    <w:pPr>
      <w:ind/>
      <w:jc w:val="both"/>
    </w:pPr>
    <w:rPr>
      <w:rFonts w:ascii="XO Thames" w:hAnsi="XO Thames"/>
      <w:i w:val="1"/>
      <w:sz w:val="24"/>
    </w:rPr>
  </w:style>
  <w:style w:styleId="Style_27_ch" w:type="character">
    <w:name w:val="Subtitle"/>
    <w:link w:val="Style_27"/>
    <w:rPr>
      <w:rFonts w:ascii="XO Thames" w:hAnsi="XO Thames"/>
      <w:i w:val="1"/>
      <w:sz w:val="24"/>
    </w:rPr>
  </w:style>
  <w:style w:styleId="Style_1" w:type="paragraph">
    <w:name w:val="List Paragraph"/>
    <w:basedOn w:val="Style_4"/>
    <w:link w:val="Style_1_ch"/>
    <w:pPr>
      <w:ind w:left="720"/>
      <w:contextualSpacing w:val="1"/>
    </w:pPr>
  </w:style>
  <w:style w:styleId="Style_1_ch" w:type="character">
    <w:name w:val="List Paragraph"/>
    <w:basedOn w:val="Style_4_ch"/>
    <w:link w:val="Style_1"/>
  </w:style>
  <w:style w:styleId="Style_28" w:type="paragraph">
    <w:name w:val="Title"/>
    <w:next w:val="Style_4"/>
    <w:link w:val="Style_28_ch"/>
    <w:uiPriority w:val="10"/>
    <w:qFormat/>
    <w:pPr>
      <w:spacing w:after="567" w:before="567"/>
      <w:ind/>
      <w:jc w:val="center"/>
    </w:pPr>
    <w:rPr>
      <w:rFonts w:ascii="XO Thames" w:hAnsi="XO Thames"/>
      <w:b w:val="1"/>
      <w:caps w:val="1"/>
      <w:sz w:val="40"/>
    </w:rPr>
  </w:style>
  <w:style w:styleId="Style_28_ch" w:type="character">
    <w:name w:val="Title"/>
    <w:link w:val="Style_28"/>
    <w:rPr>
      <w:rFonts w:ascii="XO Thames" w:hAnsi="XO Thames"/>
      <w:b w:val="1"/>
      <w:caps w:val="1"/>
      <w:sz w:val="40"/>
    </w:rPr>
  </w:style>
  <w:style w:styleId="Style_29" w:type="paragraph">
    <w:name w:val="heading 4"/>
    <w:next w:val="Style_4"/>
    <w:link w:val="Style_29_ch"/>
    <w:uiPriority w:val="9"/>
    <w:qFormat/>
    <w:pPr>
      <w:spacing w:after="120" w:before="120"/>
      <w:ind/>
      <w:jc w:val="both"/>
      <w:outlineLvl w:val="3"/>
    </w:pPr>
    <w:rPr>
      <w:rFonts w:ascii="XO Thames" w:hAnsi="XO Thames"/>
      <w:b w:val="1"/>
      <w:sz w:val="24"/>
    </w:rPr>
  </w:style>
  <w:style w:styleId="Style_29_ch" w:type="character">
    <w:name w:val="heading 4"/>
    <w:link w:val="Style_29"/>
    <w:rPr>
      <w:rFonts w:ascii="XO Thames" w:hAnsi="XO Thames"/>
      <w:b w:val="1"/>
      <w:sz w:val="24"/>
    </w:rPr>
  </w:style>
  <w:style w:styleId="Style_17" w:type="paragraph">
    <w:name w:val="Основной шрифт абзаца1"/>
    <w:link w:val="Style_17_ch"/>
  </w:style>
  <w:style w:styleId="Style_17_ch" w:type="character">
    <w:name w:val="Основной шрифт абзаца1"/>
    <w:link w:val="Style_17"/>
  </w:style>
  <w:style w:styleId="Style_30" w:type="paragraph">
    <w:name w:val="heading 2"/>
    <w:next w:val="Style_4"/>
    <w:link w:val="Style_30_ch"/>
    <w:uiPriority w:val="9"/>
    <w:qFormat/>
    <w:pPr>
      <w:spacing w:after="120" w:before="120"/>
      <w:ind/>
      <w:jc w:val="both"/>
      <w:outlineLvl w:val="1"/>
    </w:pPr>
    <w:rPr>
      <w:rFonts w:ascii="XO Thames" w:hAnsi="XO Thames"/>
      <w:b w:val="1"/>
      <w:sz w:val="28"/>
    </w:rPr>
  </w:style>
  <w:style w:styleId="Style_30_ch" w:type="character">
    <w:name w:val="heading 2"/>
    <w:link w:val="Style_30"/>
    <w:rPr>
      <w:rFonts w:ascii="XO Thames" w:hAnsi="XO Thames"/>
      <w:b w:val="1"/>
      <w:sz w:val="28"/>
    </w:rPr>
  </w:style>
  <w:style w:styleId="Style_31" w:type="paragraph">
    <w:name w:val="Выделение1"/>
    <w:basedOn w:val="Style_17"/>
    <w:link w:val="Style_31_ch"/>
    <w:rPr>
      <w:i w:val="1"/>
    </w:rPr>
  </w:style>
  <w:style w:styleId="Style_31_ch" w:type="character">
    <w:name w:val="Выделение1"/>
    <w:basedOn w:val="Style_17_ch"/>
    <w:link w:val="Style_31"/>
    <w:rPr>
      <w:i w:val="1"/>
    </w:rPr>
  </w:style>
  <w:style w:default="1" w:styleId="Style_32"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MyOffice-CoreFramework-Windows/34-1238.862.9476.867.1@6a6f965769ddd834e814912714f1fa4bc0274a9d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2026-01-23T06:53:34Z</dcterms:modified>
</cp:coreProperties>
</file>