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160"/>
        <w:contextualSpacing/>
        <w:jc w:val="center"/>
        <w:rPr>
          <w:rFonts w:ascii="Liberation Serif" w:hAnsi="Liberation Serif" w:cs="Times New Roman"/>
          <w:color w:themeColor="text1" w:val="000000"/>
          <w:sz w:val="24"/>
          <w:szCs w:val="24"/>
        </w:rPr>
      </w:pPr>
      <w:r>
        <w:rPr>
          <w:rFonts w:cs="Times New Roman" w:ascii="Liberation Serif" w:hAnsi="Liberation Serif"/>
          <w:color w:themeColor="text1" w:val="000000"/>
          <w:sz w:val="24"/>
          <w:szCs w:val="24"/>
        </w:rPr>
      </w:r>
    </w:p>
    <w:p>
      <w:pPr>
        <w:pStyle w:val="Normal"/>
        <w:tabs>
          <w:tab w:val="clear" w:pos="708"/>
          <w:tab w:val="left" w:pos="1080" w:leader="none"/>
        </w:tabs>
        <w:ind w:hanging="0" w:left="0" w:right="0"/>
        <w:jc w:val="right"/>
        <w:rPr/>
      </w:pPr>
      <w:r>
        <w:rPr>
          <w:rFonts w:cs="Liberation Serif"/>
          <w:color w:val="000000"/>
          <w:sz w:val="26"/>
          <w:szCs w:val="26"/>
          <w:lang w:eastAsia="en-US"/>
        </w:rPr>
        <w:t xml:space="preserve">          </w:t>
      </w:r>
      <w:r>
        <w:rPr>
          <w:rFonts w:cs="Liberation Serif"/>
          <w:color w:val="000000"/>
          <w:sz w:val="26"/>
          <w:szCs w:val="26"/>
          <w:lang w:eastAsia="en-US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</w:p>
    <w:p>
      <w:pPr>
        <w:pStyle w:val="Normal"/>
        <w:ind w:hanging="0" w:left="0" w:right="0"/>
        <w:jc w:val="right"/>
        <w:rPr>
          <w:rFonts w:cs="Liberation Serif"/>
          <w:b/>
          <w:color w:val="000000"/>
          <w:sz w:val="28"/>
        </w:rPr>
      </w:pPr>
      <w:r>
        <w:rPr>
          <w:rFonts w:cs="Liberation Serif"/>
          <w:b/>
          <w:color w:val="000000"/>
          <w:sz w:val="28"/>
        </w:rPr>
      </w:r>
    </w:p>
    <w:p>
      <w:pPr>
        <w:pStyle w:val="Normal"/>
        <w:ind w:hanging="0" w:left="0" w:right="0"/>
        <w:jc w:val="center"/>
        <w:rPr>
          <w:sz w:val="28"/>
          <w:szCs w:val="28"/>
        </w:rPr>
      </w:pPr>
      <w:r>
        <w:rPr>
          <w:rFonts w:cs="Liberation Serif"/>
          <w:b/>
          <w:color w:val="000000"/>
          <w:sz w:val="28"/>
          <w:szCs w:val="28"/>
        </w:rPr>
        <w:t xml:space="preserve">Отчет </w:t>
      </w:r>
    </w:p>
    <w:p>
      <w:pPr>
        <w:pStyle w:val="Normal"/>
        <w:ind w:hanging="0" w:left="0" w:right="0"/>
        <w:jc w:val="center"/>
        <w:rPr>
          <w:sz w:val="28"/>
          <w:szCs w:val="28"/>
        </w:rPr>
      </w:pPr>
      <w:r>
        <w:rPr>
          <w:rFonts w:cs="Liberation Serif" w:ascii="Liberation Serif" w:hAnsi="Liberation Serif"/>
          <w:b/>
          <w:bCs/>
          <w:color w:val="000000"/>
          <w:sz w:val="28"/>
          <w:szCs w:val="28"/>
        </w:rPr>
        <w:t xml:space="preserve"> </w:t>
      </w:r>
      <w:r>
        <w:rPr>
          <w:rFonts w:cs="Liberation Serif" w:ascii="Liberation Serif" w:hAnsi="Liberation Serif"/>
          <w:b/>
          <w:bCs/>
          <w:color w:val="000000"/>
          <w:sz w:val="28"/>
          <w:szCs w:val="28"/>
        </w:rPr>
        <w:t>о выполнении плана  мероприятий по противодействию коррупции Государственного автономного стационарного учреждения социального обслуживания Свердловской области «Первоуральский психоневрологический интернат»</w:t>
      </w:r>
      <w:r>
        <w:rPr>
          <w:rFonts w:cs="Times New Roman" w:ascii="Liberation Serif" w:hAnsi="Liberation Serif"/>
          <w:bCs/>
          <w:color w:themeColor="text1" w:val="000000"/>
          <w:sz w:val="28"/>
          <w:szCs w:val="28"/>
        </w:rPr>
        <w:br/>
        <w:t xml:space="preserve">за </w:t>
      </w:r>
      <w:r>
        <w:rPr>
          <w:rFonts w:cs="Liberation Serif" w:ascii="Liberation Serif" w:hAnsi="Liberation Serif"/>
          <w:b/>
          <w:bCs/>
          <w:color w:val="000000"/>
          <w:sz w:val="28"/>
          <w:szCs w:val="28"/>
        </w:rPr>
        <w:t xml:space="preserve"> 2025год.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1"/>
        <w:rPr>
          <w:rFonts w:ascii="Liberation Serif" w:hAnsi="Liberation Serif" w:cs="Times New Roman"/>
          <w:color w:themeColor="text1" w:val="000000"/>
          <w:sz w:val="24"/>
          <w:szCs w:val="24"/>
        </w:rPr>
      </w:pPr>
      <w:r>
        <w:rPr>
          <w:rFonts w:cs="Times New Roman" w:ascii="Liberation Serif" w:hAnsi="Liberation Serif"/>
          <w:color w:themeColor="text1" w:val="000000"/>
          <w:sz w:val="24"/>
          <w:szCs w:val="24"/>
        </w:rPr>
        <w:t xml:space="preserve">  </w:t>
      </w:r>
    </w:p>
    <w:tbl>
      <w:tblPr>
        <w:tblStyle w:val="a8"/>
        <w:tblW w:w="15270" w:type="dxa"/>
        <w:jc w:val="left"/>
        <w:tblInd w:w="-60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90"/>
        <w:gridCol w:w="6075"/>
        <w:gridCol w:w="4214"/>
        <w:gridCol w:w="3691"/>
      </w:tblGrid>
      <w:tr>
        <w:trPr>
          <w:tblHeader w:val="true"/>
          <w:cantSplit w:val="true"/>
        </w:trPr>
        <w:tc>
          <w:tcPr>
            <w:tcW w:w="1290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8"/>
                <w:szCs w:val="28"/>
                <w:lang w:val="ru-RU" w:eastAsia="en-US" w:bidi="ar-SA"/>
              </w:rPr>
              <w:t>Номер пункта</w:t>
            </w:r>
          </w:p>
        </w:tc>
        <w:tc>
          <w:tcPr>
            <w:tcW w:w="6075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8"/>
                <w:szCs w:val="28"/>
                <w:lang w:val="ru-RU" w:eastAsia="en-US" w:bidi="ar-SA"/>
              </w:rPr>
              <w:t>Наименование мероприятия</w:t>
            </w:r>
          </w:p>
        </w:tc>
        <w:tc>
          <w:tcPr>
            <w:tcW w:w="4214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8"/>
                <w:szCs w:val="28"/>
                <w:lang w:val="ru-RU" w:eastAsia="en-US" w:bidi="ar-SA"/>
              </w:rPr>
              <w:t>Ожидаемый результат</w:t>
            </w:r>
          </w:p>
        </w:tc>
        <w:tc>
          <w:tcPr>
            <w:tcW w:w="3691" w:type="dxa"/>
            <w:tcBorders/>
          </w:tcPr>
          <w:p>
            <w:pPr>
              <w:pStyle w:val="ConsPlusNormal"/>
              <w:spacing w:lineRule="auto" w:line="2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/>
                <w:bCs/>
                <w:kern w:val="0"/>
                <w:sz w:val="28"/>
                <w:szCs w:val="28"/>
                <w:lang w:val="ru-RU" w:eastAsia="en-US" w:bidi="ar-SA"/>
              </w:rPr>
              <w:t>Оценка результатов выполнения мероприятия (результат)</w:t>
            </w:r>
          </w:p>
        </w:tc>
      </w:tr>
      <w:tr>
        <w:trPr/>
        <w:tc>
          <w:tcPr>
            <w:tcW w:w="1290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8"/>
                <w:szCs w:val="28"/>
                <w:lang w:val="ru-RU" w:eastAsia="en-US" w:bidi="ar-SA"/>
              </w:rPr>
              <w:t>1.</w:t>
            </w:r>
          </w:p>
        </w:tc>
        <w:tc>
          <w:tcPr>
            <w:tcW w:w="6075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left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8"/>
                <w:szCs w:val="28"/>
                <w:lang w:val="ru-RU" w:eastAsia="en-US" w:bidi="ar-SA"/>
              </w:rPr>
              <w:t>Мониторинг изменений законодательства Российской Федерации и законодательства Свердловской области в сфере противодействия коррупции</w:t>
            </w:r>
          </w:p>
        </w:tc>
        <w:tc>
          <w:tcPr>
            <w:tcW w:w="4214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left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8"/>
                <w:szCs w:val="28"/>
                <w:lang w:val="ru-RU" w:eastAsia="en-US" w:bidi="ar-SA"/>
              </w:rPr>
              <w:t>Направление директору учреждения предложений о внесении изменений в правовые акты учреждения, принятие новых правовых актов учреждения</w:t>
            </w:r>
          </w:p>
        </w:tc>
        <w:tc>
          <w:tcPr>
            <w:tcW w:w="3691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left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8"/>
                <w:szCs w:val="28"/>
                <w:lang w:val="ru-RU" w:eastAsia="en-US" w:bidi="ar-SA"/>
              </w:rPr>
              <w:t>Выполнено в полном объеме</w:t>
            </w:r>
          </w:p>
        </w:tc>
      </w:tr>
      <w:tr>
        <w:trPr/>
        <w:tc>
          <w:tcPr>
            <w:tcW w:w="1290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8"/>
                <w:szCs w:val="28"/>
                <w:lang w:val="ru-RU" w:eastAsia="en-US" w:bidi="ar-SA"/>
              </w:rPr>
              <w:t>2.</w:t>
            </w:r>
          </w:p>
        </w:tc>
        <w:tc>
          <w:tcPr>
            <w:tcW w:w="6075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left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8"/>
                <w:szCs w:val="28"/>
                <w:lang w:val="ru-RU" w:eastAsia="en-US" w:bidi="ar-SA"/>
              </w:rPr>
              <w:t>Приведение правовых актов учреждения по вопросам противодействия коррупции в соответствие с законодательством Российской Федерации и законодательством Свердловской области</w:t>
            </w:r>
          </w:p>
        </w:tc>
        <w:tc>
          <w:tcPr>
            <w:tcW w:w="4214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left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8"/>
                <w:szCs w:val="28"/>
                <w:lang w:val="ru-RU" w:eastAsia="en-US" w:bidi="ar-SA"/>
              </w:rPr>
              <w:t>Поддержание в актуальной редакции правовых актов учреждения в сфере противодействия коррупции</w:t>
            </w:r>
          </w:p>
        </w:tc>
        <w:tc>
          <w:tcPr>
            <w:tcW w:w="3691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left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8"/>
                <w:szCs w:val="28"/>
                <w:lang w:val="ru-RU" w:eastAsia="en-US" w:bidi="ar-SA"/>
              </w:rPr>
              <w:t>Выполнено в полном объеме</w:t>
            </w:r>
          </w:p>
        </w:tc>
      </w:tr>
      <w:tr>
        <w:trPr/>
        <w:tc>
          <w:tcPr>
            <w:tcW w:w="1290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8"/>
                <w:szCs w:val="28"/>
                <w:lang w:val="ru-RU" w:eastAsia="en-US" w:bidi="ar-SA"/>
              </w:rPr>
              <w:t>3.</w:t>
            </w:r>
          </w:p>
        </w:tc>
        <w:tc>
          <w:tcPr>
            <w:tcW w:w="6075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left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8"/>
                <w:szCs w:val="28"/>
                <w:lang w:val="ru-RU" w:eastAsia="en-US" w:bidi="ar-SA"/>
              </w:rPr>
              <w:t>Проведение антикоррупционной экспертизы проектов правовых актов, разработчиком которых является учреждение</w:t>
            </w:r>
          </w:p>
        </w:tc>
        <w:tc>
          <w:tcPr>
            <w:tcW w:w="4214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left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8"/>
                <w:szCs w:val="28"/>
                <w:lang w:val="ru-RU" w:eastAsia="en-US" w:bidi="ar-SA"/>
              </w:rPr>
              <w:t>Соответствие содержания правовых актов учреждения действующему федеральному законодательству, законодательству Свердловской области</w:t>
            </w:r>
          </w:p>
        </w:tc>
        <w:tc>
          <w:tcPr>
            <w:tcW w:w="3691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left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8"/>
                <w:szCs w:val="28"/>
                <w:lang w:val="ru-RU" w:eastAsia="en-US" w:bidi="ar-SA"/>
              </w:rPr>
              <w:t>Выполнено в полном объеме</w:t>
            </w:r>
          </w:p>
        </w:tc>
      </w:tr>
      <w:tr>
        <w:trPr/>
        <w:tc>
          <w:tcPr>
            <w:tcW w:w="1290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8"/>
                <w:szCs w:val="28"/>
                <w:lang w:val="ru-RU" w:eastAsia="en-US" w:bidi="ar-SA"/>
              </w:rPr>
              <w:t>4.</w:t>
            </w:r>
          </w:p>
        </w:tc>
        <w:tc>
          <w:tcPr>
            <w:tcW w:w="6075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left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8"/>
                <w:szCs w:val="28"/>
                <w:lang w:val="ru-RU" w:eastAsia="en-US" w:bidi="ar-SA"/>
              </w:rPr>
              <w:t>Ознакомление работников под подпись с правовыми актами учреждения по вопросам противодействия коррупции</w:t>
            </w:r>
          </w:p>
        </w:tc>
        <w:tc>
          <w:tcPr>
            <w:tcW w:w="4214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left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8"/>
                <w:szCs w:val="28"/>
                <w:lang w:val="ru-RU" w:eastAsia="en-US" w:bidi="ar-SA"/>
              </w:rPr>
              <w:t>Профилактика коррупционных и иных правонарушений</w:t>
            </w:r>
          </w:p>
        </w:tc>
        <w:tc>
          <w:tcPr>
            <w:tcW w:w="3691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left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8"/>
                <w:szCs w:val="28"/>
                <w:lang w:val="ru-RU" w:eastAsia="en-US" w:bidi="ar-SA"/>
              </w:rPr>
              <w:t>Выполнено в полном объеме</w:t>
            </w:r>
          </w:p>
        </w:tc>
      </w:tr>
      <w:tr>
        <w:trPr/>
        <w:tc>
          <w:tcPr>
            <w:tcW w:w="1290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8"/>
                <w:szCs w:val="28"/>
                <w:lang w:val="ru-RU" w:eastAsia="en-US" w:bidi="ar-SA"/>
              </w:rPr>
              <w:t>5.</w:t>
            </w:r>
          </w:p>
        </w:tc>
        <w:tc>
          <w:tcPr>
            <w:tcW w:w="6075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left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8"/>
                <w:szCs w:val="28"/>
                <w:lang w:val="ru-RU" w:eastAsia="en-US" w:bidi="ar-SA"/>
              </w:rPr>
              <w:t>Размещение на официальном сайте учреждения в информационно-телекоммуникационной сети Интернет  в разделе «Противодействие коррупции»  информации и документов о деятельности учреждения в раках противодействию коррупции</w:t>
            </w:r>
          </w:p>
        </w:tc>
        <w:tc>
          <w:tcPr>
            <w:tcW w:w="4214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left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8"/>
                <w:szCs w:val="28"/>
                <w:lang w:val="ru-RU" w:eastAsia="en-US" w:bidi="ar-SA"/>
              </w:rPr>
              <w:t>Информационная открытость;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left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8"/>
                <w:szCs w:val="28"/>
                <w:lang w:val="ru-RU" w:eastAsia="en-US" w:bidi="ar-SA"/>
              </w:rPr>
              <w:t>профилактика коррупционных и иных правонарушений</w:t>
            </w:r>
          </w:p>
        </w:tc>
        <w:tc>
          <w:tcPr>
            <w:tcW w:w="3691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left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8"/>
                <w:szCs w:val="28"/>
                <w:lang w:val="ru-RU" w:eastAsia="en-US" w:bidi="ar-SA"/>
              </w:rPr>
              <w:t>Выполнено в полном объеме размещение на официальном сайте, странице ВК, информационных стендах подразделений и главного корпуса.</w:t>
            </w:r>
          </w:p>
        </w:tc>
      </w:tr>
      <w:tr>
        <w:trPr/>
        <w:tc>
          <w:tcPr>
            <w:tcW w:w="1290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8"/>
                <w:szCs w:val="28"/>
                <w:lang w:val="ru-RU" w:eastAsia="en-US" w:bidi="ar-SA"/>
              </w:rPr>
              <w:t>6.</w:t>
            </w:r>
          </w:p>
        </w:tc>
        <w:tc>
          <w:tcPr>
            <w:tcW w:w="6075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left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8"/>
                <w:szCs w:val="28"/>
                <w:lang w:val="ru-RU" w:eastAsia="en-US" w:bidi="ar-SA"/>
              </w:rPr>
              <w:t>Ежегодная разработка планов антикоррупционного просвещения работников учреждения, анализ исполнения</w:t>
            </w:r>
          </w:p>
        </w:tc>
        <w:tc>
          <w:tcPr>
            <w:tcW w:w="4214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left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8"/>
                <w:szCs w:val="28"/>
                <w:lang w:val="ru-RU" w:eastAsia="en-US" w:bidi="ar-SA"/>
              </w:rPr>
              <w:t>Профилактика коррупционных и иных правонарушений</w:t>
            </w:r>
          </w:p>
        </w:tc>
        <w:tc>
          <w:tcPr>
            <w:tcW w:w="3691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left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8"/>
                <w:szCs w:val="28"/>
                <w:lang w:val="ru-RU" w:eastAsia="en-US" w:bidi="ar-SA"/>
              </w:rPr>
              <w:t>Выполнено в полном объеме. Разработан план и утвержден директором, размещен на официальном сайте.</w:t>
            </w:r>
          </w:p>
        </w:tc>
      </w:tr>
      <w:tr>
        <w:trPr/>
        <w:tc>
          <w:tcPr>
            <w:tcW w:w="1290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8"/>
                <w:szCs w:val="28"/>
                <w:lang w:val="ru-RU" w:eastAsia="en-US" w:bidi="ar-SA"/>
              </w:rPr>
              <w:t>7.</w:t>
            </w:r>
          </w:p>
        </w:tc>
        <w:tc>
          <w:tcPr>
            <w:tcW w:w="6075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left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8"/>
                <w:szCs w:val="28"/>
                <w:lang w:val="ru-RU" w:eastAsia="en-US" w:bidi="ar-SA"/>
              </w:rPr>
              <w:t>Ежегодное проведение оценки коррупционных рисков,  возникающих при реализации функций учреждения</w:t>
            </w:r>
          </w:p>
        </w:tc>
        <w:tc>
          <w:tcPr>
            <w:tcW w:w="4214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left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8"/>
                <w:szCs w:val="28"/>
                <w:lang w:val="ru-RU" w:eastAsia="en-US" w:bidi="ar-SA"/>
              </w:rPr>
              <w:t>Повышение эффективности работы учреждения по противодействию коррупции путем минимизации коррупционных рисков</w:t>
            </w:r>
          </w:p>
        </w:tc>
        <w:tc>
          <w:tcPr>
            <w:tcW w:w="3691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left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8"/>
                <w:szCs w:val="28"/>
                <w:lang w:val="ru-RU" w:eastAsia="en-US" w:bidi="ar-SA"/>
              </w:rPr>
              <w:t>Выполнено в полном объеме</w:t>
            </w:r>
          </w:p>
        </w:tc>
      </w:tr>
      <w:tr>
        <w:trPr/>
        <w:tc>
          <w:tcPr>
            <w:tcW w:w="1290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8"/>
                <w:szCs w:val="28"/>
                <w:lang w:val="ru-RU" w:eastAsia="en-US" w:bidi="ar-SA"/>
              </w:rPr>
              <w:t>8.</w:t>
            </w:r>
          </w:p>
        </w:tc>
        <w:tc>
          <w:tcPr>
            <w:tcW w:w="6075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left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8"/>
                <w:szCs w:val="28"/>
                <w:lang w:val="ru-RU" w:eastAsia="en-US" w:bidi="ar-SA"/>
              </w:rPr>
              <w:t>Ежегодный мониторинг реализации мер по минимизации коррупционных рисков при осуществлении закупок товаров, работ, услуг для нужд учреждения</w:t>
            </w:r>
          </w:p>
        </w:tc>
        <w:tc>
          <w:tcPr>
            <w:tcW w:w="4214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left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8"/>
                <w:szCs w:val="28"/>
                <w:lang w:val="ru-RU" w:eastAsia="en-US" w:bidi="ar-SA"/>
              </w:rPr>
              <w:t>Повышение эффективности работы учреждения по противодействию коррупции путем минимизации коррупционных рисков</w:t>
            </w:r>
          </w:p>
        </w:tc>
        <w:tc>
          <w:tcPr>
            <w:tcW w:w="3691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left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kern w:val="0"/>
                <w:sz w:val="28"/>
                <w:szCs w:val="28"/>
                <w:lang w:val="ru-RU" w:eastAsia="en-US" w:bidi="ar-SA"/>
              </w:rPr>
              <w:t>Выполнено в полном объеме</w:t>
            </w:r>
          </w:p>
        </w:tc>
      </w:tr>
      <w:tr>
        <w:trPr/>
        <w:tc>
          <w:tcPr>
            <w:tcW w:w="1290" w:type="dxa"/>
            <w:tcBorders>
              <w:top w:val="nil"/>
            </w:tcBorders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1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>9.</w:t>
            </w:r>
          </w:p>
        </w:tc>
        <w:tc>
          <w:tcPr>
            <w:tcW w:w="6075" w:type="dxa"/>
            <w:tcBorders>
              <w:top w:val="nil"/>
            </w:tcBorders>
          </w:tcPr>
          <w:p>
            <w:pPr>
              <w:pStyle w:val="Normal"/>
              <w:tabs>
                <w:tab w:val="clear" w:pos="708"/>
              </w:tabs>
              <w:spacing w:before="0" w:after="16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Заседание комиссии по противодействию коррупции</w:t>
            </w:r>
          </w:p>
        </w:tc>
        <w:tc>
          <w:tcPr>
            <w:tcW w:w="4214" w:type="dxa"/>
            <w:tcBorders>
              <w:top w:val="nil"/>
            </w:tcBorders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left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kern w:val="0"/>
                <w:sz w:val="28"/>
                <w:szCs w:val="28"/>
                <w:lang w:val="ru-RU" w:eastAsia="en-US" w:bidi="ar-SA"/>
              </w:rPr>
              <w:t>Повышение эффективности работы учреждения по противодействию</w:t>
            </w:r>
          </w:p>
        </w:tc>
        <w:tc>
          <w:tcPr>
            <w:tcW w:w="3691" w:type="dxa"/>
            <w:tcBorders>
              <w:top w:val="nil"/>
            </w:tcBorders>
          </w:tcPr>
          <w:p>
            <w:pPr>
              <w:pStyle w:val="Normal"/>
              <w:tabs>
                <w:tab w:val="clear" w:pos="708"/>
              </w:tabs>
              <w:spacing w:before="0" w:after="16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Выполнено в полном объеме. Проведено 4 заседания комиссии по противодействию коррупции.</w:t>
            </w:r>
          </w:p>
        </w:tc>
      </w:tr>
      <w:tr>
        <w:trPr/>
        <w:tc>
          <w:tcPr>
            <w:tcW w:w="1290" w:type="dxa"/>
            <w:tcBorders>
              <w:top w:val="nil"/>
            </w:tcBorders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1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>10.</w:t>
            </w:r>
          </w:p>
        </w:tc>
        <w:tc>
          <w:tcPr>
            <w:tcW w:w="6075" w:type="dxa"/>
            <w:tcBorders>
              <w:top w:val="nil"/>
            </w:tcBorders>
          </w:tcPr>
          <w:p>
            <w:pPr>
              <w:pStyle w:val="Normal"/>
              <w:tabs>
                <w:tab w:val="clear" w:pos="708"/>
              </w:tabs>
              <w:spacing w:before="0" w:after="16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Проведение мероприятий, посвященных Международному дню борьбы с коррупцией</w:t>
            </w:r>
          </w:p>
        </w:tc>
        <w:tc>
          <w:tcPr>
            <w:tcW w:w="4214" w:type="dxa"/>
            <w:tcBorders>
              <w:top w:val="nil"/>
            </w:tcBorders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left"/>
              <w:outlineLvl w:val="1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 xml:space="preserve">Информирование получателей социальных услуг и сотрудников о </w:t>
            </w:r>
            <w:r>
              <w:rPr>
                <w:rFonts w:eastAsia="Calibri" w:cs="Times New Roman" w:ascii="Times New Roman" w:hAnsi="Times New Roman"/>
                <w:bCs/>
                <w:color w:val="000000"/>
                <w:kern w:val="0"/>
                <w:sz w:val="28"/>
                <w:szCs w:val="28"/>
                <w:lang w:val="ru-RU" w:eastAsia="en-US" w:bidi="ar-SA"/>
              </w:rPr>
              <w:t>работы учреждения по противодействию</w:t>
            </w:r>
          </w:p>
        </w:tc>
        <w:tc>
          <w:tcPr>
            <w:tcW w:w="3691" w:type="dxa"/>
            <w:tcBorders>
              <w:top w:val="nil"/>
            </w:tcBorders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left"/>
              <w:outlineLvl w:val="1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>Выполнено в полном объеме.</w:t>
            </w:r>
          </w:p>
          <w:p>
            <w:pPr>
              <w:pStyle w:val="Normal"/>
              <w:tabs>
                <w:tab w:val="clear" w:pos="708"/>
              </w:tabs>
              <w:jc w:val="both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b w:val="false"/>
                <w:bCs/>
                <w:color w:val="000000"/>
                <w:sz w:val="28"/>
                <w:szCs w:val="28"/>
              </w:rPr>
              <w:t>1.Проведение с работниками  обучающего  семинара на тему: « Подарок или взятка»? Грань между благодарностью и правонарушениями».</w:t>
            </w:r>
          </w:p>
          <w:p>
            <w:pPr>
              <w:pStyle w:val="Normal"/>
              <w:tabs>
                <w:tab w:val="clear" w:pos="708"/>
              </w:tabs>
              <w:spacing w:before="0" w:after="160"/>
              <w:jc w:val="both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b w:val="false"/>
                <w:bCs/>
                <w:color w:val="000000"/>
                <w:sz w:val="28"/>
                <w:szCs w:val="28"/>
              </w:rPr>
              <w:t xml:space="preserve">2. Конкурс рисунков среди получателей социальных услуг </w:t>
            </w:r>
            <w:r>
              <w:rPr>
                <w:rStyle w:val="Strong"/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«Мы против коррупции!»,</w:t>
            </w:r>
            <w:r>
              <w:rPr>
                <w:rFonts w:eastAsia="Times New Roman" w:cs="Times New Roman" w:ascii="Times New Roman" w:hAnsi="Times New Roman"/>
                <w:b w:val="false"/>
                <w:bCs/>
                <w:color w:val="000000"/>
                <w:sz w:val="28"/>
                <w:szCs w:val="28"/>
              </w:rPr>
              <w:t> приуроченный к Международному Дню борьбы с коррупцией</w:t>
            </w:r>
          </w:p>
        </w:tc>
      </w:tr>
      <w:tr>
        <w:trPr/>
        <w:tc>
          <w:tcPr>
            <w:tcW w:w="1290" w:type="dxa"/>
            <w:tcBorders>
              <w:top w:val="nil"/>
            </w:tcBorders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1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>11.</w:t>
            </w:r>
          </w:p>
        </w:tc>
        <w:tc>
          <w:tcPr>
            <w:tcW w:w="6075" w:type="dxa"/>
            <w:tcBorders>
              <w:top w:val="nil"/>
            </w:tcBorders>
          </w:tcPr>
          <w:p>
            <w:pPr>
              <w:pStyle w:val="Normal"/>
              <w:tabs>
                <w:tab w:val="clear" w:pos="708"/>
              </w:tabs>
              <w:spacing w:before="0" w:after="16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Участие работников Учреждения в семинарах, конференциях, круглых столах, мероприятиях по обмену опытом и иных обучающих мероприятиях МСП СО по вопросам противодействия коррупции</w:t>
            </w:r>
          </w:p>
        </w:tc>
        <w:tc>
          <w:tcPr>
            <w:tcW w:w="4214" w:type="dxa"/>
            <w:tcBorders>
              <w:top w:val="nil"/>
            </w:tcBorders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left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ascii="Times New Roman" w:hAnsi="Times New Roman"/>
                <w:color w:val="000000"/>
                <w:kern w:val="0"/>
                <w:sz w:val="28"/>
                <w:szCs w:val="28"/>
                <w:lang w:val="ru-RU" w:eastAsia="en-US" w:bidi="ar-SA"/>
              </w:rPr>
              <w:t>Повышение эффективности работы учреждения по противодействию</w:t>
            </w:r>
          </w:p>
        </w:tc>
        <w:tc>
          <w:tcPr>
            <w:tcW w:w="3691" w:type="dxa"/>
            <w:tcBorders>
              <w:top w:val="nil"/>
            </w:tcBorders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left"/>
              <w:outlineLvl w:val="1"/>
              <w:rPr>
                <w:rFonts w:ascii="Calibri" w:hAnsi="Calibri" w:eastAsia="Calibri" w:cs="" w:asciiTheme="minorHAnsi" w:cstheme="minorBidi" w:eastAsiaTheme="minorHAnsi" w:hAnsiTheme="minorHAnsi"/>
                <w:highlight w:val="none"/>
                <w:shd w:fill="auto" w:val="clear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  <w:shd w:fill="auto" w:val="clear"/>
              </w:rPr>
              <w:t>Выполнено в полном объеме.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left"/>
              <w:outlineLvl w:val="1"/>
              <w:rPr>
                <w:rFonts w:ascii="Calibri" w:hAnsi="Calibri" w:eastAsia="Calibri" w:cs="" w:asciiTheme="minorHAnsi" w:cstheme="minorBidi" w:eastAsiaTheme="minorHAnsi" w:hAnsiTheme="minorHAnsi"/>
                <w:highlight w:val="none"/>
                <w:shd w:fill="auto" w:val="clear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  <w:shd w:fill="auto" w:val="clear"/>
              </w:rPr>
              <w:t>1. Обучающий семинар.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left"/>
              <w:outlineLvl w:val="1"/>
              <w:rPr>
                <w:rFonts w:ascii="Calibri" w:hAnsi="Calibri" w:eastAsia="Calibri" w:cs="" w:asciiTheme="minorHAnsi" w:cstheme="minorBidi" w:eastAsiaTheme="minorHAnsi" w:hAnsiTheme="minorHAnsi"/>
                <w:highlight w:val="none"/>
                <w:shd w:fill="auto" w:val="clear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  <w:shd w:fill="auto" w:val="clear"/>
              </w:rPr>
              <w:t>2. Специалист ответственный за противодействие коррупции в декабре 2025года прошел повышение  квалификации</w:t>
            </w:r>
          </w:p>
        </w:tc>
      </w:tr>
      <w:tr>
        <w:trPr/>
        <w:tc>
          <w:tcPr>
            <w:tcW w:w="1290" w:type="dxa"/>
            <w:tcBorders>
              <w:top w:val="nil"/>
            </w:tcBorders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1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>12.</w:t>
            </w:r>
          </w:p>
        </w:tc>
        <w:tc>
          <w:tcPr>
            <w:tcW w:w="6075" w:type="dxa"/>
            <w:tcBorders>
              <w:top w:val="nil"/>
            </w:tcBorders>
          </w:tcPr>
          <w:p>
            <w:pPr>
              <w:pStyle w:val="Normal"/>
              <w:tabs>
                <w:tab w:val="clear" w:pos="708"/>
              </w:tabs>
              <w:spacing w:before="0" w:after="16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Сбор и обобщение информации содержащейся в теле-, радиопередачах и публикациях массовой информации о коррупционных фактах.</w:t>
            </w:r>
          </w:p>
        </w:tc>
        <w:tc>
          <w:tcPr>
            <w:tcW w:w="4214" w:type="dxa"/>
            <w:tcBorders>
              <w:top w:val="nil"/>
            </w:tcBorders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left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ascii="Times New Roman" w:hAnsi="Times New Roman"/>
                <w:color w:val="000000"/>
                <w:kern w:val="0"/>
                <w:sz w:val="28"/>
                <w:szCs w:val="28"/>
                <w:lang w:val="ru-RU" w:eastAsia="en-US" w:bidi="ar-SA"/>
              </w:rPr>
              <w:t>Повышение эффективности работы учреждения по противодействию</w:t>
            </w:r>
          </w:p>
        </w:tc>
        <w:tc>
          <w:tcPr>
            <w:tcW w:w="3691" w:type="dxa"/>
            <w:tcBorders>
              <w:top w:val="nil"/>
            </w:tcBorders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left"/>
              <w:outlineLvl w:val="1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>Выполнено в полном объеме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left"/>
              <w:outlineLvl w:val="1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>1. Мониторинг официальной страницы ВК «Департамент противодействия коррупции Свердловской области»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left"/>
              <w:outlineLvl w:val="1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/>
            </w:r>
          </w:p>
        </w:tc>
      </w:tr>
    </w:tbl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hanging="0" w:left="0"/>
        <w:outlineLvl w:val="1"/>
        <w:rPr>
          <w:rFonts w:ascii="Liberation Serif" w:hAnsi="Liberation Serif" w:cs="Times New Roman"/>
          <w:sz w:val="20"/>
          <w:szCs w:val="20"/>
          <w:u w:val="single"/>
        </w:rPr>
      </w:pPr>
      <w:r>
        <w:rPr>
          <w:rFonts w:cs="Times New Roman" w:ascii="Liberation Serif" w:hAnsi="Liberation Serif"/>
          <w:sz w:val="20"/>
          <w:szCs w:val="20"/>
          <w:u w:val="single"/>
        </w:rPr>
      </w:r>
    </w:p>
    <w:sectPr>
      <w:type w:val="nextPage"/>
      <w:pgSz w:orient="landscape" w:w="16838" w:h="11906"/>
      <w:pgMar w:left="1701" w:right="851" w:gutter="0" w:header="0" w:top="851" w:footer="0" w:bottom="851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04107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60410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f7ba6"/>
    <w:rPr>
      <w:color w:themeColor="hyperlink" w:val="0000FF"/>
      <w:u w:val="single"/>
    </w:rPr>
  </w:style>
  <w:style w:type="character" w:styleId="Style15" w:customStyle="1">
    <w:name w:val="Верхний колонтитул Знак"/>
    <w:basedOn w:val="DefaultParagraphFont"/>
    <w:uiPriority w:val="99"/>
    <w:qFormat/>
    <w:rsid w:val="00240468"/>
    <w:rPr/>
  </w:style>
  <w:style w:type="character" w:styleId="Style16" w:customStyle="1">
    <w:name w:val="Нижний колонтитул Знак"/>
    <w:basedOn w:val="DefaultParagraphFont"/>
    <w:uiPriority w:val="99"/>
    <w:qFormat/>
    <w:rsid w:val="00240468"/>
    <w:rPr/>
  </w:style>
  <w:style w:type="character" w:styleId="Strong">
    <w:name w:val="Strong"/>
    <w:qFormat/>
    <w:rPr>
      <w:b/>
      <w:bCs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ConsPlusNormal" w:customStyle="1">
    <w:name w:val="ConsPlusNormal"/>
    <w:qFormat/>
    <w:rsid w:val="00604107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Calibri" w:cs="Times New Roman" w:eastAsiaTheme="minorHAnsi"/>
      <w:color w:val="auto"/>
      <w:kern w:val="0"/>
      <w:sz w:val="20"/>
      <w:szCs w:val="20"/>
      <w:lang w:val="ru-RU" w:eastAsia="en-US" w:bidi="ar-SA"/>
    </w:rPr>
  </w:style>
  <w:style w:type="paragraph" w:styleId="NoSpacing">
    <w:name w:val="No Spacing"/>
    <w:uiPriority w:val="1"/>
    <w:qFormat/>
    <w:rsid w:val="00604107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604107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0c1a"/>
    <w:pPr>
      <w:spacing w:before="0" w:after="160"/>
      <w:ind w:left="720"/>
      <w:contextualSpacing/>
    </w:pPr>
    <w:rPr/>
  </w:style>
  <w:style w:type="paragraph" w:styleId="Style19">
    <w:name w:val="Колонтитул"/>
    <w:basedOn w:val="Normal"/>
    <w:qFormat/>
    <w:pPr/>
    <w:rPr/>
  </w:style>
  <w:style w:type="paragraph" w:styleId="Header">
    <w:name w:val="Header"/>
    <w:basedOn w:val="Normal"/>
    <w:link w:val="Style15"/>
    <w:uiPriority w:val="99"/>
    <w:unhideWhenUsed/>
    <w:rsid w:val="00240468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6"/>
    <w:uiPriority w:val="99"/>
    <w:unhideWhenUsed/>
    <w:rsid w:val="00240468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unhideWhenUsed/>
    <w:rsid w:val="0053093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6AB0C8-D207-4C44-8CEC-E0F68A28B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4302</TotalTime>
  <Application>LibreOffice/7.6.4.1$Windows_X86_64 LibreOffice_project/e19e193f88cd6c0525a17fb7a176ed8e6a3e2aa1</Application>
  <AppVersion>15.0000</AppVersion>
  <Pages>4</Pages>
  <Words>446</Words>
  <Characters>3495</Characters>
  <CharactersWithSpaces>3923</CharactersWithSpaces>
  <Paragraphs>62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2016-10-03T09:59:00Z</dcterms:created>
  <dc:creator>User</dc:creator>
  <dc:description/>
  <dc:language>ru-RU</dc:language>
  <cp:lastModifiedBy/>
  <cp:lastPrinted>2025-01-31T14:07:58Z</cp:lastPrinted>
  <dcterms:modified xsi:type="dcterms:W3CDTF">2026-01-21T09:47:30Z</dcterms:modified>
  <cp:revision>122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