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9"/>
        <w:spacing w:before="0" w:after="0"/>
        <w:jc w:val="center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Анализ производственного травматизма с тяжелыми последствиями </w:t>
      </w:r>
    </w:p>
    <w:p>
      <w:pPr>
        <w:pStyle w:val="Style19"/>
        <w:spacing w:before="0" w:after="0"/>
        <w:jc w:val="center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за </w:t>
      </w:r>
      <w:r>
        <w:rPr>
          <w:rStyle w:val="Style14"/>
          <w:rFonts w:cs="Liberation Serif" w:ascii="Liberation Serif" w:hAnsi="Liberation Serif"/>
          <w:b/>
          <w:sz w:val="28"/>
          <w:szCs w:val="28"/>
          <w:lang w:val="en-US"/>
        </w:rPr>
        <w:t>III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 квартал 2025 года</w:t>
      </w:r>
    </w:p>
    <w:p>
      <w:pPr>
        <w:pStyle w:val="Style19"/>
        <w:spacing w:before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Анализ материалов расследованных несчастных случаев на производстве </w:t>
        <w:br/>
        <w:t>(в том числе групповых), в результате которых один или несколько пострадавших получили тяжелые повреждения здоровья, либо несчастных случаев (в том числе групповых) со смертельным исходом (далее – несчастные случаи с тяжелыми последствиями), поступивших в I</w:t>
      </w:r>
      <w:r>
        <w:rPr>
          <w:rStyle w:val="Style14"/>
          <w:rFonts w:cs="Liberation Serif" w:ascii="Liberation Serif" w:hAnsi="Liberation Serif"/>
          <w:sz w:val="28"/>
          <w:szCs w:val="28"/>
          <w:lang w:val="en-US"/>
        </w:rPr>
        <w:t>I</w:t>
      </w:r>
      <w:r>
        <w:rPr>
          <w:rStyle w:val="Style14"/>
          <w:rFonts w:cs="Liberation Serif" w:ascii="Liberation Serif" w:hAnsi="Liberation Serif"/>
          <w:sz w:val="28"/>
          <w:szCs w:val="28"/>
        </w:rPr>
        <w:t>I квартале 2025 года, показал, что наибольшее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  <w:t xml:space="preserve"> </w:t>
      </w:r>
      <w:r>
        <w:rPr>
          <w:rStyle w:val="Style14"/>
          <w:rFonts w:cs="Liberation Serif" w:ascii="Liberation Serif" w:hAnsi="Liberation Serif"/>
          <w:sz w:val="28"/>
          <w:szCs w:val="28"/>
        </w:rPr>
        <w:t>количество несчастных случаев произошло в организациях по производству различной продукции (15 случаев); в строительстве жилых и нежилых зданий, железных дорог и метро (4 случая); в различных видах оптовой и розничной торговли (3 случая); в прочих видах деятельности по  1–2 несчастных случая (деятельность вспомогательная прочая, связанная с перевозками, в добыче полезных ископаемых, деятельность по складированию и хранению, передача электроэнергии) (12 случаев).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Наибольшее количество несчастных случаев с тяжелыми последствиями произошло в результате: падения при разности уровней высот (с деревьев, мебели, со ступеней, приставных лестниц, строительных лесов, зданий, оборудования, транспортных средств и других) (10 случаев или 25,6%); падения, обрушения, обвалы предметов, материалов, земли и прочего (удары падающими предметами </w:t>
        <w:br/>
        <w:t xml:space="preserve">и деталями, защемление между движущимися предметами, деталями и машинами, обвалы зданий, стен, строительных лесов, лестниц, складированных материалов </w:t>
        <w:br/>
        <w:t xml:space="preserve">и другое) (8 случаев или 20,5%); воздействия движущихся, разлетающихся, вращающихся предметов, деталей, машин, в том числе защемление между неподвижными и движущимися предметами, деталями и машинами (или между ними), защемления между движущимися предметами, деталями и машинами </w:t>
        <w:br/>
        <w:t>(8 случаев или 20,5%).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Основные причины несчастных случаев с тяжелыми последствиями, установленные в ходе проведенных расследований, распределились следующим образом: неудовлетворительная организация производства работ, в том числе необеспечение контроля со стороны руководителей и специалистов подразделения за ходом выполнения работы, соблюдением трудовой дисциплины, недостатки </w:t>
        <w:br/>
        <w:t xml:space="preserve">в создании и обеспечении функционирования системы управления охраной труда, нарушения допуска к работам с повышенной опасностью (11 случаев или 28,2%); прочие причины, квалифицированные по материалам расследования несчастных случаев (неосторожность, невнимательность, поспешность, внезапное ухудшение состояния здоровья пострадавшего, причинение вреда жизни и здоровью </w:t>
        <w:br/>
        <w:t>в результате противоправных действий третьих лиц) (6 случаев или 15,4 %).</w:t>
      </w:r>
      <w:r>
        <w:rPr>
          <w:rStyle w:val="Style14"/>
          <w:rFonts w:cs="Liberation Serif" w:ascii="Liberation Serif" w:hAnsi="Liberation Serif"/>
          <w:sz w:val="28"/>
          <w:szCs w:val="28"/>
          <w:shd w:fill="FFFF00" w:val="clear"/>
        </w:rPr>
        <w:t xml:space="preserve">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Примеры характерных несчастных случаев на производстве</w:t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I. Тяжелый несчастный случай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произошел с уборщиком служебных помещений, во время выполнения своих трудовых обязанностей в организации, деятельность которой вспомогательная прочая, связанная с перевозками </w:t>
        <w:br/>
        <w:t>(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ОКВЭД 52.29</w:t>
      </w:r>
      <w:r>
        <w:rPr>
          <w:rStyle w:val="Style14"/>
          <w:rFonts w:cs="Liberation Serif" w:ascii="Liberation Serif" w:hAnsi="Liberation Serif"/>
          <w:sz w:val="28"/>
          <w:szCs w:val="28"/>
        </w:rPr>
        <w:t>).</w:t>
      </w:r>
    </w:p>
    <w:p>
      <w:pPr>
        <w:pStyle w:val="ConsPlusNormal"/>
        <w:ind w:firstLine="709"/>
        <w:jc w:val="both"/>
        <w:rPr/>
      </w:pP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В соответствии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с рабочим графиком уборщик служебных помещений </w:t>
        <w:br/>
        <w:t xml:space="preserve">с применением поломоечной машины </w:t>
      </w:r>
      <w:r>
        <w:rPr>
          <w:rStyle w:val="Style14"/>
          <w:rFonts w:cs="Liberation Serif" w:ascii="Liberation Serif" w:hAnsi="Liberation Serif"/>
          <w:sz w:val="28"/>
          <w:szCs w:val="28"/>
          <w:lang w:val="en-US"/>
        </w:rPr>
        <w:t>Karcher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</w:t>
      </w:r>
      <w:r>
        <w:rPr>
          <w:rStyle w:val="Style14"/>
          <w:rFonts w:cs="Liberation Serif" w:ascii="Liberation Serif" w:hAnsi="Liberation Serif"/>
          <w:sz w:val="28"/>
          <w:szCs w:val="28"/>
          <w:lang w:val="en-US"/>
        </w:rPr>
        <w:t>BD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75/120</w:t>
      </w:r>
      <w:r>
        <w:rPr>
          <w:rStyle w:val="Style14"/>
          <w:rFonts w:cs="Liberation Serif" w:ascii="Liberation Serif" w:hAnsi="Liberation Serif"/>
          <w:sz w:val="28"/>
          <w:szCs w:val="28"/>
          <w:lang w:val="en-US"/>
        </w:rPr>
        <w:t>R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проводил влажную уборку </w:t>
        <w:br/>
        <w:t>в складском помещении в зоне раздевалки работников. Для удобного проезда поломоечной машины скамейки, находящиеся в раздевалке, были подняты на верх металлических шкафов. Чтобы помыть пол под шкафами работник принял решение самостоятельно передвинуть металлические шкафы, во время передвижения шкафа одна из скамеек, находящаяся сверху, упала на работника, в результате чего уборщик служебных помещений получил тяжелую травму головы.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 установлено, что в организации система управления охраной труда (далее – СУОТ) реализована работодателем не в полном объеме, </w:t>
        <w:br/>
        <w:t>а именно: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1. О</w:t>
      </w: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>ценка профессиональных рисков в организации проведена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, однако опасность, представляющая угрозу жизни и здоровья работника, которая послужила причиной несчастного случая, не идентифицирована;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Работодателем не были представлены документальные сведения </w:t>
        <w:br/>
        <w:t>о проведении на рабочем месте уборщика служебных помещений специальной оценки условий труда (далее – СОУТ), что является нарушением части 1 пункта 2 статьи 4 Федерального закона от 28.12.2013 № 426-ФЗ «О специальной оценке условий труда».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Группа процессов СУОТ, направленных на обеспечение безопасной производственной среды в рамках функционирования процессов в организации (в том числе обеспечение безопасности работников при эксплуатации оборудования; обеспечение безопасности работников при осуществлении технологических процессов), работодателем в полном объеме не реализована.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4 Правил по охране труда при погрузочно-разгрузочных работах и размещении грузов, утвержденных приказом Министерства труда </w:t>
        <w:br/>
        <w:t xml:space="preserve">и социальной защиты Российской Федерации (далее – Минтруда России) </w:t>
        <w:br/>
        <w:t xml:space="preserve">от 28.10.2020 № 753, работодатель обязан обеспечить, в том числе условия труда </w:t>
        <w:br/>
        <w:t>на рабочих местах, соответствующие требованиям охраны труда.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105 Правил по охране труда при погрузочно-разгрузочных работах и размещении грузов, утвержденных приказом Минтруда России </w:t>
        <w:br/>
        <w:t xml:space="preserve">от 28.10.2020 № 753 размещение грузов производится по технологическим картам </w:t>
        <w:br/>
        <w:t>с указанием мест размещения, размеров проходов и проездов.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организации разработана и утверждена работодателем Технологическая карта на погрузочно-разгрузочные работы, в которой указаны места размещения грузов с указанием размеров проходов, а также направлений движения техники.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Однако, вышеуказанная технологическая карта не содержит сведения </w:t>
        <w:br/>
        <w:t>о размещении в складском помещении металлических шкафов, с указанием размеров проходов и проездов между ними, а также не определяет местом для размещения скамейки поверхность вышеуказанных шкафов, что является нарушением статьей 22, 214, 216 Трудового кодекса Российской Федерации (далее – ТК РФ), пункта 2 Общих требований к организации безопасного рабочего места, утвержденных приказом Минтруда России от 29.10.2021 № 774н.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отсутствуют документальные сведения о прохождении работником предварительного медицинского осмотра.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имеются документальные сведения о проведении уборщику служебных помещений обучения и проверки знания требований охраны труда </w:t>
        <w:br/>
        <w:t xml:space="preserve">в объеме 24 часов по программе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СОУТ и оценки профессиональных рисков для уборщика служебных помещений, утвержденной работодателем, предусматривающий три дня очной (с отрывом от работы) формы обучения с частичным использованием дистанционных образовательных технологий.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Согласно сведениям, содержащимся в табеле учета рабочего времени в период прохождения обучения по охране труда работник выполнял свои трудовые обязанности, что является нарушением статьей 76, 214, 219 ТК РФ.</w:t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1. Неудовлетворительное содержание и недостатки в организации рабочих мест, что выразилось в неудовлетворительной организации рабочего места (рабочей зоны) пострадавшего работника.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статей 22, 214, 216 ТК РФ, пункт 2 Общих требований </w:t>
        <w:br/>
        <w:t>к организации безопасного рабочего места, утвержденных приказом Минтруда России от 29.10.2021 № 774н.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2. Недостатки в организации и проведении подготовки работников по охране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  <w:t xml:space="preserve">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труда в том числе: не проведение обучения и проверки знаний охраны труда, что выразилось в допуске работника к исполнению трудовых обязанностей без прохождения в установленном порядке инструктажей, обучения и проверки знания требований охраны труда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статей 76, 214, 219 ТК РФ.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Неудовлетворительная организация производства работ, в том числе недостатки в создании и обеспечении функционирования системы управления охраной труда, что выразилось в необеспечении функционирования СУОТ в полном объеме, а именно в не полной реализации Базового процесса СУОТ – оценка профессиональных рисков, не принятии исчерпывающих мер по исключению или снижению уровня риска, направленных на сохранение жизни и здоровья работников в процессе трудовой деятельности 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: статей 22, 217, 218 ТК РФ.</w:t>
      </w:r>
    </w:p>
    <w:p>
      <w:pPr>
        <w:pStyle w:val="Style20"/>
        <w:spacing w:before="0" w:after="0"/>
        <w:ind w:firstLine="709" w:left="0"/>
        <w:jc w:val="both"/>
        <w:rPr/>
      </w:pPr>
      <w:r>
        <w:rPr/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начальник склада, инженер по эксплуатации, директор структурного подразделения.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  <w:shd w:fill="FFFF00" w:val="clear"/>
        </w:rPr>
      </w:pPr>
      <w:r>
        <w:rPr>
          <w:rFonts w:cs="Liberation Serif" w:ascii="Liberation Serif" w:hAnsi="Liberation Serif"/>
          <w:b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II Тяжелый несчастный случай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произошел с шеф-поваром на выездном мероприятии во время розжига угля в мангале, в организации деятельность которой – рестораны и услуги по доставке продуктов питания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56.10).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На выездном мероприятии шеф-повар занимался подготовкой рабочего места для приготовления мясных блюд на открытом огне. Во время работы для розжига угля в мангале работник воспользовался жидкостью для розжига «Прометей» (далее – жидкость). При очередном добавлении жидкости на тлеющие угли пламя по струе жидкости переместилось на бутылку с жидкостью, которая загорелась и взорвалась в руках работника.  Горящая жидкость попала на одежду и руки шеф-повара, </w:t>
        <w:br/>
        <w:t>в результате чего он получил термические ожоги тела.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ходе расследования установлено, что в организации СУОТ реализована работодателем не в полном объеме, а именно: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оценка профессиональных рисков по профессии «шеф-повар» в полном объеме не осуществлена, меры по исключению или снижению уровня риска, направленные на сохранение жизни и здоровья работников в процессе трудовой деятельности в полном объеме не разработаны и не приняты, что является нарушением статей 214, 217 ТК РФ, пункта 25 Примерного положение о системе управления охраной труда.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действует инструкция по охране труда для повара, утвержденная работодателем. Вместе с тем в разделе «требования охраны труда </w:t>
        <w:br/>
        <w:t>во время работы» данной инструкции отсутствует информация о способах и приемах безопасного выполнения работ по приготовлению мяса на мангале, а также розжига в нем огня.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Процесс СУОТ – проведение обучения работников реализован работодателем не в полном объеме: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шеф-повар прошел обучение по охране труда, но в организации отсутствуют документальные сведения о проведении работнику практических занятий </w:t>
        <w:br/>
        <w:t xml:space="preserve">по формированию умений и навыков безопасного выполнения работ, </w:t>
        <w:br/>
        <w:t xml:space="preserve">в объеме не менее 25 процентов общего количества учебных часов с применением технических средств обучения и наглядных пособий.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Таким образом, шеф повар был допущен к исполнению трудовых обязанностей без прохождения в установленном порядке обучения и проверки знания требований охраны труда, что является нарушением статей 76, 214, 219 ТК РФ.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Недостатки в организации и проведении подготовки работников по охране труда, а именно недостатки в изложении требований безопасности в инструкциях </w:t>
        <w:br/>
        <w:t>по охране труда, что выразилось в отсутствии разработанного порядка, определяющего приемы и методы безопасного выполнения работ по приготовлению мяса, а также розжига в нем огня.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22, 214 ТК РФ, пункт 24 Основных требований к порядку разработки и содержанию правил и инструкций по охране труда, разрабатываемых работодателем, утвержденных Приказом Минтруда России от 29.10.2021 № 772н.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2. Недостатки в организации и проведении подготовки работников по охране труда, в том числе не проведение обучения и проверки знаний охраны труда, выразившееся в допуске работника к исполнению трудовых обязанностей без прохождения в установленном порядке инструктажей, обучения и проверки знания требований охраны труда.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76, 214 и 219 ТК РФ.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3. Неудовлетворительная организация производства работ, в том числе недостатки в создании и обеспечении функционирования системы управления охраной труда, выразившееся в необеспечении функционирования СУОТ в полном объеме, в не полной реализации Базового процесса СУОТ – оценка профессиональных рисков, не принятии мер по исключению или снижению уровня риска, направленных на сохранение жизни и здоровья работников в процессе трудовой деятельности.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22, 214, 217 ТК РФ.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Лицо, ответственное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руководитель организации.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/>
          <w:color w:val="000000"/>
          <w:sz w:val="28"/>
          <w:szCs w:val="28"/>
          <w:shd w:fill="FFFF00" w:val="clear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shd w:fill="FFFF00" w:val="clear"/>
          <w:lang w:eastAsia="ru-RU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III. Тяжелый несчастный случай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произошел на участке швейного производства с работником по профессии «швея» во время удаления краски </w:t>
        <w:br/>
        <w:t xml:space="preserve">с барабана печатного станка в организации, деятельность которой – производство извести и гипса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</w:t>
      </w:r>
      <w:r>
        <w:rPr>
          <w:rStyle w:val="Style14"/>
          <w:rFonts w:cs="Liberation Serif" w:ascii="Liberation Serif" w:hAnsi="Liberation Serif"/>
          <w:sz w:val="28"/>
          <w:szCs w:val="28"/>
        </w:rPr>
        <w:t>ОКВЭД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 23.52)</w:t>
      </w:r>
      <w:r>
        <w:rPr>
          <w:rStyle w:val="Style14"/>
          <w:rFonts w:cs="Liberation Serif" w:ascii="Liberation Serif" w:hAnsi="Liberation Serif"/>
          <w:sz w:val="28"/>
          <w:szCs w:val="28"/>
        </w:rPr>
        <w:t>.</w:t>
      </w:r>
    </w:p>
    <w:p>
      <w:pPr>
        <w:pStyle w:val="ConsPlusNormal"/>
        <w:tabs>
          <w:tab w:val="left" w:pos="709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Во время работы печатник флексографской печати заметил на упаковочной продукции брак, подтеки краски при печати. Для устранения неисправности печатник остановил станок, открыл крышки, ограждающие барабан и вал печатного станка, накинул на них ветошь для протирки и отошел в соседнее помещение. В это время швея, которая также заметила на упаковочной продукции следы краски, подошла </w:t>
        <w:br/>
        <w:t xml:space="preserve">к флексостанку сказать об этом печатнику и обратила внимание, что на барабанах имеются следы краски. Поскольку станок был выключен и рядом с ним не было работника, швея приняла решение убрать краску с барабана. Во время удаления краски станок включился и кисть левой руки швеи зажало между барабаном и валом станка. В результате зажатия работник получил тяжелую травму левой кисти. 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расследования, установлено, что в организации разработано </w:t>
        <w:br/>
        <w:t>и утверждено работодателем положение о СУОТ. Определены цели и задачи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  <w:t xml:space="preserve">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работодателя в области охраны труда, осуществлено распределение обязанностей </w:t>
        <w:br/>
        <w:t xml:space="preserve">в сфере охраны труда между должностными лицами работодателя, определены процедуры подготовки и обучения работников по охране труда, организации </w:t>
        <w:br/>
        <w:t xml:space="preserve">и проведения оценки условий труда, обеспечения оптимальных режимов труда </w:t>
        <w:br/>
        <w:t xml:space="preserve">и отдыха работников, обеспечения работников средства индивидуальной защиты (далее – СИЗ) и средствами коллективной защиты, смывающими </w:t>
        <w:br/>
        <w:t xml:space="preserve">и обезвреживающими средствами, обеспечения безопасного выполнения работ </w:t>
        <w:br/>
        <w:t xml:space="preserve">по профессии.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Комиссии по расследованию несчастного случая представлена производственная инструкция «швея», в которой указаны обязанности </w:t>
        <w:br/>
        <w:t>по соблюдению производственной дисциплины и требования правил по охране труда. В обязанность швеи не входит чистка станка флексографической печати.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Согласно статьи 214 ТК РФ, работодатель обязан обеспечить безопасность работников при эксплуатации зданий, сооружений, оборудования, осуществлении технологических процессов, а также эксплуатации применяемых в производстве инструментов, сырья и материалов.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соответствии с Государственными нормативными требованиями охраны труда при проведении полиграфических работ, утвержденных Приказом Минтруда России от 27.11.2020 № 832н (далее – «Правила по охране труда»), работодатель обязан соблюдать требования и правила по охране труда, а именно:</w:t>
      </w:r>
    </w:p>
    <w:p>
      <w:pPr>
        <w:pStyle w:val="Style20"/>
        <w:numPr>
          <w:ilvl w:val="0"/>
          <w:numId w:val="1"/>
        </w:numPr>
        <w:tabs>
          <w:tab w:val="left" w:pos="851" w:leader="none"/>
        </w:tabs>
        <w:spacing w:before="0" w:after="0"/>
        <w:ind w:firstLine="567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пункт 47 – все электропусковые устройства должны быть размещены так, чтобы исключить возможность пуска машин, механизмов и оборудования посторонними лицами. Запрещается включение нескольких токоприемников одним пусковым устройством;</w:t>
      </w:r>
    </w:p>
    <w:p>
      <w:pPr>
        <w:pStyle w:val="Style20"/>
        <w:numPr>
          <w:ilvl w:val="0"/>
          <w:numId w:val="1"/>
        </w:numPr>
        <w:tabs>
          <w:tab w:val="left" w:pos="851" w:leader="none"/>
        </w:tabs>
        <w:spacing w:before="0" w:after="0"/>
        <w:ind w:firstLine="567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пункт 48 – распределительные щиты и рубильники должны быть оборудованы запирающими устройствами с целью исключения возможного доступа посторонних;</w:t>
      </w:r>
    </w:p>
    <w:p>
      <w:pPr>
        <w:pStyle w:val="Style20"/>
        <w:numPr>
          <w:ilvl w:val="0"/>
          <w:numId w:val="1"/>
        </w:numPr>
        <w:tabs>
          <w:tab w:val="left" w:pos="851" w:leader="none"/>
        </w:tabs>
        <w:spacing w:before="0" w:after="0"/>
        <w:ind w:firstLine="567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пункт 49 – токоведущие части электроустановок должны быть изолированы, ограждены или размещены в местах, недоступных для случайного прикосновения </w:t>
        <w:br/>
        <w:t>к ним;</w:t>
      </w:r>
    </w:p>
    <w:p>
      <w:pPr>
        <w:pStyle w:val="Style20"/>
        <w:numPr>
          <w:ilvl w:val="0"/>
          <w:numId w:val="1"/>
        </w:numPr>
        <w:tabs>
          <w:tab w:val="left" w:pos="851" w:leader="none"/>
        </w:tabs>
        <w:spacing w:before="0" w:after="0"/>
        <w:ind w:firstLine="567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пункт 50 очистка оборудования или механизмов должна производится </w:t>
        <w:br/>
        <w:t>с помощью крючков, щеток, сметок и других предназначенных для этой цели изделий при полном отключении и остановке оборудования и механизмов;</w:t>
      </w:r>
    </w:p>
    <w:p>
      <w:pPr>
        <w:pStyle w:val="Style20"/>
        <w:numPr>
          <w:ilvl w:val="0"/>
          <w:numId w:val="1"/>
        </w:numPr>
        <w:tabs>
          <w:tab w:val="left" w:pos="851" w:leader="none"/>
        </w:tabs>
        <w:spacing w:before="0" w:after="0"/>
        <w:ind w:firstLine="567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пункт 81 – остановленное для осмотра, чистки или ремонта оборудование должно быть отключено от технологических трубопроводов и электроносителей;</w:t>
      </w:r>
    </w:p>
    <w:p>
      <w:pPr>
        <w:pStyle w:val="Style20"/>
        <w:numPr>
          <w:ilvl w:val="0"/>
          <w:numId w:val="1"/>
        </w:numPr>
        <w:tabs>
          <w:tab w:val="left" w:pos="851" w:leader="none"/>
          <w:tab w:val="left" w:pos="993" w:leader="none"/>
        </w:tabs>
        <w:spacing w:before="0" w:after="0"/>
        <w:ind w:firstLine="567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пункт 82 – при осмотре, чистке, ремонте и демонтаже оборудования электроприводы должны быть обесточены, приводные ремни сняты, на пусковых устройствах должны быть вывешены плакаты. «Не включать – работают люди» или «Не включать – ремонт». Запрещается проводить ремонтные и профилактические работы на оборудовании без выполнения мероприятий, исключающих его ошибочное включение или самопроизвольное перемещение его частей.</w:t>
      </w:r>
    </w:p>
    <w:p>
      <w:pPr>
        <w:pStyle w:val="Style20"/>
        <w:tabs>
          <w:tab w:val="left" w:pos="851" w:leader="none"/>
        </w:tabs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Вместе с тем, электроприводы остановленного для очистки станка флексографической печати не были обесточены, в связи с этим сохранилась возможность ошибочного включения или самопроизвольного перемещения частей оборудования, что является нарушением пункта 82 Правил по охране труда.</w:t>
      </w:r>
    </w:p>
    <w:p>
      <w:pPr>
        <w:pStyle w:val="Style20"/>
        <w:tabs>
          <w:tab w:val="left" w:pos="851" w:leader="none"/>
        </w:tabs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представленной работодателем инструкции по эксплуатации станка флексографической печати, отсутствуют требования по обесточиванию электропривода для чистки станка.</w:t>
      </w:r>
    </w:p>
    <w:p>
      <w:pPr>
        <w:pStyle w:val="Style19"/>
        <w:tabs>
          <w:tab w:val="clear" w:pos="709"/>
          <w:tab w:val="left" w:pos="851" w:leader="none"/>
          <w:tab w:val="left" w:pos="993" w:leader="none"/>
        </w:tabs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Работодателем представлена организационно техническая документация – технологическая карта при печати на флексографическом станке, в которой указано: печатник выключает подачу электроэнергии на станок при помощи рычажного переключателя на пульте управления; печатник совместно открывает защитные чехлы и приступает к очистке барабанов от краски при помощи обтира </w:t>
        <w:br/>
        <w:t>и разжижающих средств для краски.</w:t>
      </w:r>
    </w:p>
    <w:p>
      <w:pPr>
        <w:pStyle w:val="Style19"/>
        <w:tabs>
          <w:tab w:val="clear" w:pos="709"/>
          <w:tab w:val="left" w:pos="851" w:leader="none"/>
          <w:tab w:val="left" w:pos="993" w:leader="none"/>
        </w:tabs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Таким образом, процедура отключения подачи электроэнергии на станок при помощи рычажного переключателя на пульте управления предусмотрена для очистки барабана от краски только при завершении рабочей смены печатника.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 ходе расследования установлено, что в организации отсутствует контроль </w:t>
        <w:br/>
        <w:t>со стороны руководителя подразделения за соблюдением работниками требований охраны труда, производственной и трудовой дисциплины.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 Нарушение технологического процесса в том числе: неправильная эксплуатация оборудования, выразившееся в необеспечении электропривода станка флексографической печати, остановленного для чистки. 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Нарушение: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статья 214 ТК РФ, пункт 82 Правил по охране труда при проведении полиграфических работ, утвержденных приказом Минтруда России </w:t>
        <w:br/>
        <w:t>от 27.11.2020 № 832н.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Неудовлетворительная организация производства работ, в том числе: необеспечение контроля со стороны руководителей и специалистов подразделения </w:t>
        <w:br/>
        <w:t>за ходом выполнения работы, соблюдением трудовой дисциплины, соблюдением требований установленных локальными нормативными актами работодателя, в части выполнения работы, по которой работником не получен инструктаж на рабочем месте и не получено разрешение непосредственного руководителя на ее выполнение.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статья 214 ТК РФ, пункты инструкции по охране труда для швеи.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Несовершенство технологического процесса, в том числе недостатки </w:t>
        <w:br/>
        <w:t>в изложении требований безопасности в технологической документации, в частности в инструкции по эксплуатации станка флексографической печати, не содержится требование по обесточиванию электропривода остановленного для очистки станка флексографической печати.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статья 214 ТК РФ, «пункт 82 Правил по охране труда при проведении полиграфических работ, утвержденных приказом Минтруда России </w:t>
        <w:br/>
        <w:t xml:space="preserve">от 27.11.2020 № 832н, пункт 5 Основных требований к порядку разработки </w:t>
        <w:br/>
        <w:t>и содержанию правил и инструкций по охране труда, разработанных работодателем и утвержденных приказом Минтруда России от 29.10.2021 № 772н.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  <w:br/>
        <w:t xml:space="preserve">и иных нормативных правовых и локальных актов, явившихся причинами несчастного случая: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главный инженер, начальник швейного участка.</w:t>
      </w:r>
    </w:p>
    <w:p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  <w:shd w:fill="FFFF00" w:val="clear"/>
        </w:rPr>
      </w:pPr>
      <w:r>
        <w:rPr>
          <w:rFonts w:ascii="Liberation Serif" w:hAnsi="Liberation Serif"/>
          <w:b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IV. Несчастный случай с тяжелыми последствиями </w:t>
      </w:r>
      <w:r>
        <w:rPr>
          <w:rStyle w:val="Style14"/>
          <w:rFonts w:cs="Liberation Serif" w:ascii="Liberation Serif" w:hAnsi="Liberation Serif"/>
          <w:sz w:val="28"/>
          <w:szCs w:val="28"/>
        </w:rPr>
        <w:t>произошел при выполнении работ по ремонту и техническому обслуживанию установки централизованной мойки оборудования трубопроводов в производственном цехе</w:t>
        <w:br/>
        <w:t>со слесарем ремонтником, в организации деятельность которой – производство молока и молочной продукции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 (ОКВЭД 10.51).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Слесарь-ремонтник совместно с механиком получили задание на установление причин и устранение неисправности установки централизованной мойки оборудования и трубопроводов УЦМ-3. При проведении осмотра была выявлена неисправность одного из центробежных насосов НМ1-НМ3, было принято решение </w:t>
        <w:br/>
        <w:t>о его замене. Механик направился в механический цех за новым центробежным насосом, а слесарь-ремонтник приступил к подготовительным работам для замены неисправного центробежного оборудования.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Во время отсоединения шланга, идущего к центробежному насосу, содержащейся в шланге жидкость (уксусная кислота) попала на работника, </w:t>
        <w:br/>
        <w:t>в результате, чего работник получил химический ожог лица и тела.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ходе расследования, установлено, что в организации СУОТ реализована работодателем не в полном объеме, а именно: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оценка профессиональных рисков по профессии «слесарь-ремонтник» проведена, классификация, обнаружение, распознавание и описание опасностей, представляющих угрозу жизни и здоровью работников работодателем осуществлены.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Однако при разработке мер по исключению или снижению уровня вышеуказанного риска, работодателем не учтены требования статьи 214 ТК РФ, пункта 5 Правил по охране труда при размещении, монтаже, техническом обслуживании и ремонте технологического оборудования, утвержденных приказом Минтруда России от 27.11.2020 № 833н согласно которым работодатель обязан обеспечить, в том числе эксплуатацию технологического оборудования </w:t>
        <w:br/>
        <w:t>в соответствии с требованиями Правил и технической (эксплуатационной) документации организации-изготовителя.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 установлено, что в организации отсутствуют технические документы (в том числе технологические инструкции, карты, проекты организации и производства ремонтных работ) на проведение работ по ремонту </w:t>
        <w:br/>
        <w:t xml:space="preserve">и техническому обслуживанию установки централизованной мойки оборудования </w:t>
        <w:br/>
        <w:t xml:space="preserve">и трубопроводов УЦМ-3, содержащие порядок и последовательность выполнения работ, необходимые приспособления и инструмент, а также должностные лица, ответственные за их выполнение и требования безопасности при проведении ремонтных работ, что является нарушением статей 22, 214 ТК РФ, пункта 73 Правил по охране труда при размещении, монтаже, техническом обслуживании и ремонте технологического оборудования, утвержденных приказом Минтруда России </w:t>
        <w:br/>
        <w:t>от 27.11.2020 № 833н.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Работодателем не представлены документальные сведения о прохождении слесарем-ремонтником теоретических и практических знаний требований охраны труда, безопасных методов и приемов выполнения работ, в том числе безопасных методов и приемов выполнения работ повышенной опасности (безопасные методы </w:t>
        <w:br/>
        <w:t>и приемы выполнения работ при размещении, монтаже, техническом обслуживании и ремонте технологического оборудования), что явилось одной из причин несчастного случая.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действует Положение о порядке бесплатной выдачи специальной одежды, специальной обуви и других СИЗ работникам, занятым </w:t>
        <w:br/>
        <w:t>на работах с вредными и (или) опасными условиями труда, а также на работах, выполняемых в особых температурных условиях или связанных с загрязнением, утвержденное работодателем организации.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Однако вышеуказанном Положении отсутствуют сведения, устанавливающие порядок обеспечения работников СИЗ и смывающие средства, распределение обязанностей и ответственности должностных лиц на этапы обеспечения СИЗ </w:t>
        <w:br/>
        <w:t>и смывающими средствами, с учетом особенностей структуры управления организации, что является нарушением требований пункта 10 Правил обеспечения работников СИЗ и смывающими средствами, утвержденные приказом Минтруда России от 29.10.2021 № 766н.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4560 Единых типовых норм выдачи СИЗ и смывающих средств, утвержденных Минтруда России от 29.10.2021 № 767н слесарю-ремонтнику положены СИЗ, в том числе очки защитные от механических воздействий. </w:t>
        <w:br/>
      </w: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Меры по обеспечению работника СИЗ реализованы работодателем не в полном объеме.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представленной работодателем карточки учета выдачи СИЗ слесаря-ремонтника отсутствует информация о выдаче средств защиты глаз.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Несовершенство технологического процесса, в том числе отсутствие технологической карты или другой технической документации на выполняемую работу, что выразилось в отсутствии технологических документов на проведение работ по ремонту и техническому обслуживанию установки централизованной мойки оборудования и трубопроводов УЦМ-3, содержащих порядок </w:t>
        <w:br/>
        <w:t xml:space="preserve">и последовательность выполнения работ, необходимые приспособления </w:t>
        <w:br/>
        <w:t>и инструмент, а также требования безопасности при выполнении вышеуказанных работ, тем самым не обеспечена безопасность работников при эксплуатации оборудования, и осуществлении технологических процессов.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Нарушение: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статьи 22, 214 ТК РФ, пункты 5, 73 Правил по охране труда при размещении, монтаже, техническом обслуживании и ремонте технологического оборудования, утвержденных приказом Минтруда России от 27.11.2020 № 833н.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2.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val="en-US" w:eastAsia="ru-RU"/>
        </w:rPr>
        <w:t> 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Недостатки в организации и проведении подготовки работников по охране труда, в том числе: не проведение обучения и проверки знаний охраны труда, что выразилось в допуске пострадавшего работника к исполнению трудовых обязанностей без прохождения в установленном порядке обучения и проверки знания требований охраны труда.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Нарушение: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статьи 76, 214, 219 ТК РФ.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Неудовлетворительная организация производства работ, в том числе недостатки в создании и обеспечении функционирования системы управления охраной труда, не в полном объеме реализации Базового процесса СУОТ – оценка профессиональных рисков, в том числе в непринятии исчерпывающих мер </w:t>
        <w:br/>
        <w:t xml:space="preserve">по исключению или снижению уровня риска, направленных на сохранение жизни </w:t>
        <w:br/>
        <w:t>и здоровья работников в процессе трудовой деятельности.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Нарушение: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статьи 22, 214 и 217 ТК РФ.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shd w:fill="FFFF00" w:val="clear"/>
        </w:rPr>
      </w:pPr>
      <w:r>
        <w:rPr>
          <w:rFonts w:cs="Liberation Serif" w:ascii="Liberation Serif" w:hAnsi="Liberation Serif"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Лица, ответственные за допущенные нарушения законодательных </w:t>
        <w:br/>
        <w:t xml:space="preserve">и иных нормативных правовых и локальных актов, явившихся причинами несчастного случая: </w:t>
      </w:r>
      <w:r>
        <w:rPr>
          <w:rStyle w:val="Style14"/>
          <w:rFonts w:cs="Liberation Serif" w:ascii="Liberation Serif" w:hAnsi="Liberation Serif"/>
          <w:sz w:val="28"/>
          <w:szCs w:val="28"/>
        </w:rPr>
        <w:t>заместитель директора, организации, директор организации.</w:t>
      </w:r>
    </w:p>
    <w:p>
      <w:pPr>
        <w:pStyle w:val="Style19"/>
        <w:spacing w:before="0" w:after="0"/>
        <w:ind w:firstLine="709"/>
        <w:jc w:val="both"/>
        <w:rPr>
          <w:shd w:fill="FFFF00" w:val="clear"/>
        </w:rPr>
      </w:pPr>
      <w:r>
        <w:rPr>
          <w:shd w:fill="FFFF00" w:val="clear"/>
        </w:rPr>
      </w:r>
    </w:p>
    <w:p>
      <w:pPr>
        <w:pStyle w:val="ConsPlusNormal"/>
        <w:spacing w:lineRule="auto" w:line="230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V.</w:t>
      </w:r>
      <w:r>
        <w:rPr>
          <w:rStyle w:val="Style14"/>
          <w:rFonts w:cs="Liberation Serif" w:ascii="Liberation Serif" w:hAnsi="Liberation Serif"/>
          <w:sz w:val="28"/>
          <w:szCs w:val="28"/>
        </w:rPr>
        <w:t> 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Несчастный случай с тяжелыми последствиями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произошел </w:t>
        <w:br/>
        <w:t xml:space="preserve">с электромонтером по ремонту и обслуживанию электрооборудования, во время спуска с мостового электрического двухбалочного опорного крана (далее – мостовой кран) в организации, деятельность которой – производство изделий из бетона для использования в строительстве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23.61)</w:t>
      </w:r>
      <w:r>
        <w:rPr>
          <w:rStyle w:val="Style14"/>
          <w:rFonts w:cs="Liberation Serif" w:ascii="Liberation Serif" w:hAnsi="Liberation Serif"/>
          <w:sz w:val="28"/>
          <w:szCs w:val="28"/>
        </w:rPr>
        <w:t>.</w:t>
      </w:r>
    </w:p>
    <w:p>
      <w:pPr>
        <w:pStyle w:val="ConsPlusNormal"/>
        <w:spacing w:lineRule="auto" w:line="23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Получив задание на ремонт мостового крана электромонтер по ремонту </w:t>
        <w:br/>
        <w:t>и обслуживанию электрооборудования (далее – электромонтер) поднялся по лестнице на пролетную балку мостового крана и приступил к выполнению работ. Устранив неисправность, работник хотел переместиться на мостовом кране к лестнице, расположенной в центральной части цеха, чтобы спустится с мостового крана вниз. Электромонтер сел на край мостового крана и попросил находящегося внизу коллегу движением крана с помощью пульта управления переместить его в сторону лестницы.</w:t>
      </w:r>
    </w:p>
    <w:p>
      <w:pPr>
        <w:pStyle w:val="ConsPlusNormal"/>
        <w:spacing w:lineRule="auto" w:line="23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момент движения крана электромонтер зацепился ногой и не смог спрыгнуть в пролет между колонн, в результате чего работник оказался зажат между железобетонной колонной и мостовым краном. Пострадавший получил травму тяжелой степени тяжести, повреждение костей таза.</w:t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В ходе расследования, установлено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что в организации СУОТ реализована работодателем не в полном объеме, что </w:t>
      </w: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>выразилось в несоблюдении государственных нормативных требований охраны труда, а именно:</w:t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отсутствуют документарные сведения о проведении работнику стажировки, обучения по охране труда с последующей проверкой знаний охраны труда </w:t>
      </w: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в соответствии с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Правилами обучения по охране труда и проверки знания требований охраны труда, утвержденных Постановлением Правительства Российской Федерации от 24.12.2021 № 2464 (далее – </w:t>
      </w: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Правила обучения по охране труда). 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lang w:eastAsia="ru-RU"/>
        </w:rPr>
        <w:t>Согласно пункта 33 Правил обучения по охране труда, обучение по оказанию первой помощи пострадавшим проводится в отношении работников рабочих профессий.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Согласно пункта 38 Правил обучения по охране труда, обучение </w:t>
        <w:br/>
        <w:t xml:space="preserve">по использованию (применению) СИЗ подлежат работники, применяющие СИЗ, применение которых требует практических навыков. Работодатель утверждает перечень СИЗ, применение которых требует от работников практических навыков </w:t>
        <w:br/>
        <w:t xml:space="preserve">в зависимости от степени риска причинения вреда работнику. При выдаче СИЗ, применение которых не требует от работников практических навыков, работодатель обеспечивает ознакомление со способами проверки их работоспособности </w:t>
        <w:br/>
        <w:t>и исправности в рамках проведения инструктажа по охране труда на рабочем месте.</w:t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Работодателем не был представлен </w:t>
      </w: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>перечень СИЗ требующих практических навыков.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Согласно пункта 46 Правил обучения по охране труда обучение требованиям охраны труда в зависимости от категории работников проводится: по программе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СОУТ и профессиональных рисков, продолжительностью не менее 16 часов (подпункт «б»), по программе обучения безопасным методам и приемам выполнения работ повышенной опасности, </w:t>
        <w:br/>
        <w:t xml:space="preserve">к которым предъявляются дополнительные требования в соответствии </w:t>
        <w:br/>
        <w:t>с нормативными правовыми актами, содержащими государственные нормативные требования охраны труда (подпункт «в»).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Следовательно, работник был допущен до выполнения работ без проведения </w:t>
        <w:br/>
        <w:t>в установленном порядке обучения и проверки знания требований охраны труда.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Работодателем не были представлены документальные сведения </w:t>
        <w:br/>
        <w:t xml:space="preserve">о прохождении работником предварительного медицинского осмотра, который проводится при поступлении на работу. Согласно статьи 76 ТК РФ работодатель обязан отстранить от работы (не допускать к работе) работника: не прошедшего </w:t>
        <w:br/>
        <w:t xml:space="preserve">в установленном порядке обязательный медицинский осмотр. 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73 Правил по охране труда при размещении, монтаже, техническом обслуживании и ремонте технологического оборудования, утвержденных приказом Минтруда России от 27.11.2020 № 833н техническое обслуживание и ремонт технологического оборудования должны выполнятся </w:t>
        <w:br/>
        <w:t xml:space="preserve">в соответствии с разработанными технологическими регламентами (инструкциями по эксплуатации, технологическими инструментами, картами, проектами организации и производства ремонтных работ), которыми устанавливаются порядок и последовательность  выполнения работ, необходимые приспособления </w:t>
        <w:br/>
        <w:t xml:space="preserve">и инструмент, а также определяются должностные лица, ответственные </w:t>
        <w:br/>
        <w:t>за их выполнение.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Согласно статьи 214 ТК РФ, работодатель обязан обеспечить безопасность работников при эксплуатации зданий, сооружений, оборудования, осуществлении технологических процессов, а также эксплуатации применяемых в производстве инструментов, сырья и материалов.</w:t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209 Правил по охране труда при работе на высоте, утвержденных приказом Минтруда России от 16.11.2020 № 782н, не допускается при работе грузоподъемными механизмами поднимать, опускать, перемещать людей </w:t>
        <w:br/>
        <w:t>не предназначенными для этих целей грузоподъемными механизмами. М</w:t>
      </w:r>
      <w:r>
        <w:rPr>
          <w:rStyle w:val="Style14"/>
          <w:rFonts w:cs="Liberation Serif" w:ascii="Liberation Serif" w:hAnsi="Liberation Serif"/>
          <w:sz w:val="28"/>
          <w:szCs w:val="28"/>
        </w:rPr>
        <w:t>остовой электрический кран не предназначен для перевозки людей.</w:t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 xml:space="preserve">В организации работодателем разработаны и утверждены инструкции </w:t>
        <w:br/>
        <w:t xml:space="preserve">по охране труда: работа повышенной опасности; инструкция по охране труда «Электромонтер по ремонту и обслуживанию электрооборудования»; инструкция </w:t>
        <w:br/>
        <w:t xml:space="preserve">по охране труда при выполнении работ на высоте, однако в данных инструкциях отсутствует информация о безопасных методах и приемах подъемам и спуска </w:t>
        <w:br/>
        <w:t>с мостового крана, схода с мостового крана.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lineRule="auto" w:line="230" w:before="0" w:after="0"/>
        <w:ind w:firstLine="709"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lineRule="auto" w:line="230" w:before="0" w:after="0"/>
        <w:ind w:firstLine="709" w:right="96"/>
        <w:jc w:val="center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Несовершенство технологического процесса, в том числе недостатки </w:t>
        <w:br/>
        <w:t xml:space="preserve">в изложении требований безопасности в технологической документации, </w:t>
        <w:br/>
        <w:t>в частности в стандарте операционной процедуры допущено возвращение работника на ремонтную площадку, после выполнения ремонта, перемещением мостового крана, что привело к перемещению работника непредназначенным для этих целей грузоподъемным механизмом.</w:t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статья 214 ТК РФ, пункт 209 Правил по охране труда при работе на высоте, утвержденных приказом Минтруда России от 16.11.2020 № 782н.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Неудовлетворительная организация производства работ, в том числе недостатки в создании и обеспечении функционирования СУОТ, части реализации </w:t>
        <w:br/>
        <w:t>в полном объеме процедуры подготовки работников по охране труда.</w:t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73, 214 ТК РФ, пункт 55 Правил обучения по охране труда.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lineRule="auto" w:line="230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директор организации, заместитель директора организации.</w:t>
      </w:r>
    </w:p>
    <w:p>
      <w:pPr>
        <w:pStyle w:val="Style19"/>
        <w:spacing w:lineRule="auto" w:line="230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sectPr>
      <w:headerReference w:type="default" r:id="rId2"/>
      <w:type w:val="nextPage"/>
      <w:pgSz w:w="11906" w:h="16838"/>
      <w:pgMar w:left="1134" w:right="567" w:gutter="0" w:header="510" w:top="1134" w:footer="0" w:bottom="510"/>
      <w:pgNumType w:fmt="decimal"/>
      <w:formProt w:val="false"/>
      <w:titlePg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Segoe UI">
    <w:charset w:val="cc"/>
    <w:family w:val="swiss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rStyle w:val="Style14"/>
        <w:rFonts w:cs="Liberation Serif" w:ascii="Liberation Serif" w:hAnsi="Liberation Serif"/>
        <w:sz w:val="28"/>
        <w:szCs w:val="28"/>
      </w:rPr>
      <w:fldChar w:fldCharType="begin"/>
    </w:r>
    <w:r>
      <w:rPr>
        <w:rStyle w:val="Style14"/>
        <w:sz w:val="28"/>
        <w:szCs w:val="28"/>
        <w:rFonts w:cs="Liberation Serif" w:ascii="Liberation Serif" w:hAnsi="Liberation Serif"/>
      </w:rPr>
      <w:instrText xml:space="preserve"> PAGE </w:instrText>
    </w:r>
    <w:r>
      <w:rPr>
        <w:rStyle w:val="Style14"/>
        <w:sz w:val="28"/>
        <w:szCs w:val="28"/>
        <w:rFonts w:cs="Liberation Serif" w:ascii="Liberation Serif" w:hAnsi="Liberation Serif"/>
      </w:rPr>
      <w:fldChar w:fldCharType="separate"/>
    </w:r>
    <w:r>
      <w:rPr>
        <w:rStyle w:val="Style14"/>
        <w:sz w:val="28"/>
        <w:szCs w:val="28"/>
        <w:rFonts w:cs="Liberation Serif" w:ascii="Liberation Serif" w:hAnsi="Liberation Serif"/>
      </w:rPr>
      <w:t>11</w:t>
    </w:r>
    <w:r>
      <w:rPr>
        <w:rStyle w:val="Style14"/>
        <w:sz w:val="28"/>
        <w:szCs w:val="28"/>
        <w:rFonts w:cs="Liberation Serif" w:ascii="Liberation Serif" w:hAnsi="Liberation Serif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character" w:styleId="Style14">
    <w:name w:val="Основной шрифт абзаца"/>
    <w:qFormat/>
    <w:rPr/>
  </w:style>
  <w:style w:type="character" w:styleId="Style15">
    <w:name w:val="Верхний колонтитул Знак"/>
    <w:basedOn w:val="Style14"/>
    <w:qFormat/>
    <w:rPr/>
  </w:style>
  <w:style w:type="character" w:styleId="Style16">
    <w:name w:val="Нижний колонтитул Знак"/>
    <w:basedOn w:val="Style14"/>
    <w:qFormat/>
    <w:rPr/>
  </w:style>
  <w:style w:type="character" w:styleId="Style17">
    <w:name w:val="Текст выноски Знак"/>
    <w:basedOn w:val="Style14"/>
    <w:qFormat/>
    <w:rPr>
      <w:rFonts w:ascii="Segoe UI" w:hAnsi="Segoe UI" w:cs="Segoe UI"/>
      <w:sz w:val="18"/>
      <w:szCs w:val="18"/>
    </w:rPr>
  </w:style>
  <w:style w:type="character" w:styleId="Style18">
    <w:name w:val="Строгий"/>
    <w:basedOn w:val="Style14"/>
    <w:qFormat/>
    <w:rPr>
      <w:b/>
      <w:bCs/>
    </w:rPr>
  </w:style>
  <w:style w:type="paragraph" w:styleId="Style19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paragraph" w:styleId="Style20">
    <w:name w:val="Абзац списка"/>
    <w:basedOn w:val="Style19"/>
    <w:qFormat/>
    <w:pPr>
      <w:tabs>
        <w:tab w:val="clear" w:pos="709"/>
      </w:tabs>
      <w:suppressAutoHyphens w:val="true"/>
      <w:ind w:left="720"/>
    </w:pPr>
    <w:rPr/>
  </w:style>
  <w:style w:type="paragraph" w:styleId="ConsPlusNormal">
    <w:name w:val="ConsPlus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before="0" w:after="0" w:lineRule="auto" w:line="240"/>
      <w:jc w:val="left"/>
      <w:textAlignment w:val="auto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16"/>
      <w:sz w:val="16"/>
      <w:szCs w:val="16"/>
      <w:u w:val="none"/>
      <w:shd w:fill="auto" w:val="clear"/>
      <w:vertAlign w:val="baseline"/>
      <w:em w:val="none"/>
      <w:lang w:eastAsia="ru-RU" w:val="ru-RU" w:bidi="ar-SA"/>
    </w:rPr>
  </w:style>
  <w:style w:type="paragraph" w:styleId="Style2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Style19"/>
    <w:pPr>
      <w:tabs>
        <w:tab w:val="clear" w:pos="709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Footer">
    <w:name w:val="Footer"/>
    <w:basedOn w:val="Style19"/>
    <w:pPr>
      <w:tabs>
        <w:tab w:val="clear" w:pos="709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ConsPlusNonformat">
    <w:name w:val="ConsPlusNonformat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before="0" w:after="0" w:lineRule="auto" w:line="240"/>
      <w:jc w:val="left"/>
      <w:textAlignment w:val="auto"/>
    </w:pPr>
    <w:rPr>
      <w:rFonts w:ascii="Courier New" w:hAnsi="Courier New" w:eastAsia="Times New Roman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eastAsia="ru-RU" w:val="ru-RU" w:bidi="ar-SA"/>
    </w:rPr>
  </w:style>
  <w:style w:type="paragraph" w:styleId="Style22">
    <w:name w:val="Текст выноски"/>
    <w:basedOn w:val="Style19"/>
    <w:qFormat/>
    <w:pPr>
      <w:suppressAutoHyphens w:val="true"/>
      <w:spacing w:before="0" w:after="0"/>
    </w:pPr>
    <w:rPr>
      <w:rFonts w:ascii="Segoe UI" w:hAnsi="Segoe UI" w:cs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647</TotalTime>
  <Application>LibreOffice/24.2.0.3$Windows_X86_64 LibreOffice_project/da48488a73ddd66ea24cf16bbc4f7b9c08e9bea1</Application>
  <AppVersion>15.0000</AppVersion>
  <Pages>11</Pages>
  <Words>4686</Words>
  <Characters>26714</Characters>
  <CharactersWithSpaces>31338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2025-07-04T06:30:00Z</dcterms:created>
  <dc:creator>Соснин Владимир Борисович</dc:creator>
  <dc:description/>
  <dc:language>ru-RU</dc:language>
  <cp:lastModifiedBy>Гребенкина Анна Александровна</cp:lastModifiedBy>
  <cp:lastPrinted>2023-07-03T12:03:00Z</cp:lastPrinted>
  <dcterms:modified xsi:type="dcterms:W3CDTF">2025-10-02T07:05:00Z</dcterms:modified>
  <cp:revision>142</cp:revision>
  <dc:subject/>
  <dc:title/>
</cp:coreProperties>
</file>