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1"/>
        <w:tblW w:type="auto" w:w="0"/>
        <w:jc w:val="left"/>
        <w:tblLayout w:type="fixed"/>
        <w:tblCellMar>
          <w:top w:type="dxa" w:w="0"/>
          <w:left w:type="dxa" w:w="28"/>
          <w:bottom w:type="dxa" w:w="0"/>
          <w:right w:type="dxa" w:w="28"/>
        </w:tblCellMar>
      </w:tblPr>
      <w:tblGrid>
        <w:gridCol w:w="5670"/>
        <w:gridCol w:w="4309"/>
      </w:tblGrid>
      <w:tr>
        <w:tc>
          <w:tcPr>
            <w:tcW w:type="dxa" w:w="5670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01000000">
            <w:pPr>
              <w:spacing w:after="0" w:line="240" w:lineRule="auto"/>
              <w:ind/>
              <w:rPr>
                <w:sz w:val="24"/>
              </w:rPr>
            </w:pPr>
          </w:p>
        </w:tc>
        <w:tc>
          <w:tcPr>
            <w:tcW w:type="dxa" w:w="4309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02000000">
            <w:pPr>
              <w:spacing w:after="0" w:line="240" w:lineRule="auto"/>
              <w:ind/>
            </w:pPr>
          </w:p>
        </w:tc>
      </w:tr>
    </w:tbl>
    <w:p w14:paraId="03000000">
      <w:pPr>
        <w:ind w:left="4536"/>
        <w:rPr>
          <w:sz w:val="24"/>
        </w:rPr>
      </w:pPr>
      <w:r>
        <w:rPr>
          <w:sz w:val="24"/>
        </w:rPr>
        <w:t>Начальнику</w:t>
      </w:r>
      <w:r>
        <w:rPr>
          <w:sz w:val="24"/>
        </w:rPr>
        <w:t xml:space="preserve"> Управления</w:t>
      </w:r>
      <w:r>
        <w:rPr>
          <w:sz w:val="24"/>
        </w:rPr>
        <w:t xml:space="preserve"> социальной</w:t>
      </w:r>
      <w:r>
        <w:rPr>
          <w:sz w:val="24"/>
        </w:rPr>
        <w:t xml:space="preserve"> политики</w:t>
      </w:r>
      <w:r>
        <w:rPr>
          <w:sz w:val="24"/>
        </w:rPr>
        <w:t xml:space="preserve"> </w:t>
      </w:r>
    </w:p>
    <w:p w14:paraId="04000000">
      <w:pPr>
        <w:ind w:left="4536"/>
        <w:rPr>
          <w:sz w:val="24"/>
        </w:rPr>
      </w:pPr>
      <w:r>
        <w:rPr>
          <w:sz w:val="24"/>
        </w:rPr>
        <w:t>№</w:t>
      </w:r>
      <w:r>
        <w:rPr>
          <w:sz w:val="24"/>
        </w:rPr>
        <w:t xml:space="preserve"> </w:t>
      </w:r>
      <w:r>
        <w:rPr>
          <w:sz w:val="24"/>
        </w:rPr>
        <w:t>9</w:t>
      </w:r>
    </w:p>
    <w:p w14:paraId="05000000">
      <w:pPr>
        <w:ind w:left="4536"/>
        <w:rPr>
          <w:sz w:val="24"/>
        </w:rPr>
      </w:pPr>
    </w:p>
    <w:p w14:paraId="06000000">
      <w:pPr>
        <w:ind w:left="4536"/>
        <w:rPr>
          <w:sz w:val="24"/>
        </w:rPr>
      </w:pPr>
      <w:r>
        <w:rPr>
          <w:sz w:val="24"/>
        </w:rPr>
        <w:t>С.П</w:t>
      </w:r>
      <w:r>
        <w:rPr>
          <w:sz w:val="24"/>
        </w:rPr>
        <w:t>. Казаковой</w:t>
      </w:r>
    </w:p>
    <w:p w14:paraId="07000000">
      <w:pPr>
        <w:ind w:left="4536"/>
        <w:rPr>
          <w:sz w:val="24"/>
        </w:rPr>
      </w:pPr>
    </w:p>
    <w:p w14:paraId="08000000">
      <w:pPr>
        <w:ind w:left="4536"/>
        <w:rPr>
          <w:sz w:val="24"/>
        </w:rPr>
      </w:pPr>
      <w:r>
        <w:rPr>
          <w:sz w:val="24"/>
        </w:rPr>
        <w:t>от</w:t>
      </w:r>
      <w:r>
        <w:rPr>
          <w:sz w:val="24"/>
        </w:rPr>
        <w:t xml:space="preserve">  </w:t>
      </w:r>
    </w:p>
    <w:p w14:paraId="09000000">
      <w:pPr>
        <w:spacing w:after="840"/>
        <w:ind w:left="4865"/>
        <w:jc w:val="center"/>
      </w:pPr>
      <w:r>
        <w:t>(ф.и.о</w:t>
      </w:r>
      <w:r>
        <w:t>., замещаемая</w:t>
      </w:r>
      <w:r>
        <w:t xml:space="preserve"> должность</w:t>
      </w:r>
      <w:r>
        <w:t>)</w:t>
      </w:r>
    </w:p>
    <w:p w14:paraId="0A000000">
      <w:pPr>
        <w:spacing w:after="240"/>
        <w:ind/>
        <w:jc w:val="center"/>
        <w:rPr>
          <w:sz w:val="26"/>
        </w:rPr>
      </w:pPr>
      <w:r>
        <w:rPr>
          <w:sz w:val="26"/>
        </w:rPr>
        <w:t>Уведомление</w:t>
      </w:r>
      <w:r>
        <w:rPr>
          <w:sz w:val="26"/>
        </w:rPr>
        <w:br/>
      </w:r>
      <w:r>
        <w:rPr>
          <w:sz w:val="26"/>
        </w:rPr>
        <w:t>об</w:t>
      </w:r>
      <w:r>
        <w:rPr>
          <w:sz w:val="26"/>
        </w:rPr>
        <w:t xml:space="preserve"> отказе</w:t>
      </w:r>
      <w:r>
        <w:rPr>
          <w:sz w:val="26"/>
        </w:rPr>
        <w:t xml:space="preserve"> в</w:t>
      </w:r>
      <w:r>
        <w:rPr>
          <w:sz w:val="26"/>
        </w:rPr>
        <w:t xml:space="preserve"> получении</w:t>
      </w:r>
      <w:r>
        <w:rPr>
          <w:sz w:val="26"/>
        </w:rPr>
        <w:t xml:space="preserve"> почетного</w:t>
      </w:r>
      <w:r>
        <w:rPr>
          <w:sz w:val="26"/>
        </w:rPr>
        <w:t xml:space="preserve"> или</w:t>
      </w:r>
      <w:r>
        <w:rPr>
          <w:sz w:val="26"/>
        </w:rPr>
        <w:t xml:space="preserve"> специального</w:t>
      </w:r>
      <w:r>
        <w:rPr>
          <w:sz w:val="26"/>
        </w:rPr>
        <w:t xml:space="preserve"> звания</w:t>
      </w:r>
      <w:r>
        <w:rPr>
          <w:sz w:val="26"/>
        </w:rPr>
        <w:t>, награды</w:t>
      </w:r>
      <w:r>
        <w:rPr>
          <w:sz w:val="26"/>
        </w:rPr>
        <w:br/>
      </w:r>
      <w:r>
        <w:rPr>
          <w:sz w:val="26"/>
        </w:rPr>
        <w:t>или</w:t>
      </w:r>
      <w:r>
        <w:rPr>
          <w:sz w:val="26"/>
        </w:rPr>
        <w:t xml:space="preserve"> иного</w:t>
      </w:r>
      <w:r>
        <w:rPr>
          <w:sz w:val="26"/>
        </w:rPr>
        <w:t xml:space="preserve"> знака</w:t>
      </w:r>
      <w:r>
        <w:rPr>
          <w:sz w:val="26"/>
        </w:rPr>
        <w:t xml:space="preserve"> отличия</w:t>
      </w:r>
      <w:r>
        <w:rPr>
          <w:sz w:val="26"/>
        </w:rPr>
        <w:t xml:space="preserve"> иностранного</w:t>
      </w:r>
      <w:r>
        <w:rPr>
          <w:sz w:val="26"/>
        </w:rPr>
        <w:t xml:space="preserve"> государства</w:t>
      </w:r>
      <w:r>
        <w:rPr>
          <w:sz w:val="26"/>
        </w:rPr>
        <w:t>, международной</w:t>
      </w:r>
      <w:r>
        <w:rPr>
          <w:sz w:val="26"/>
        </w:rPr>
        <w:br/>
      </w:r>
      <w:r>
        <w:rPr>
          <w:sz w:val="26"/>
        </w:rPr>
        <w:t>организации</w:t>
      </w:r>
      <w:r>
        <w:rPr>
          <w:sz w:val="26"/>
        </w:rPr>
        <w:t>, политической</w:t>
      </w:r>
      <w:r>
        <w:rPr>
          <w:sz w:val="26"/>
        </w:rPr>
        <w:t xml:space="preserve"> партии</w:t>
      </w:r>
      <w:r>
        <w:rPr>
          <w:sz w:val="26"/>
        </w:rPr>
        <w:t>, иного</w:t>
      </w:r>
      <w:r>
        <w:rPr>
          <w:sz w:val="26"/>
        </w:rPr>
        <w:t xml:space="preserve"> общественного</w:t>
      </w:r>
      <w:r>
        <w:rPr>
          <w:sz w:val="26"/>
        </w:rPr>
        <w:t xml:space="preserve"> объединения</w:t>
      </w:r>
      <w:r>
        <w:rPr>
          <w:sz w:val="26"/>
        </w:rPr>
        <w:br/>
      </w:r>
      <w:r>
        <w:rPr>
          <w:sz w:val="26"/>
        </w:rPr>
        <w:t>или</w:t>
      </w:r>
      <w:r>
        <w:rPr>
          <w:sz w:val="26"/>
        </w:rPr>
        <w:t xml:space="preserve"> другой</w:t>
      </w:r>
      <w:r>
        <w:rPr>
          <w:sz w:val="26"/>
        </w:rPr>
        <w:t xml:space="preserve"> </w:t>
      </w:r>
      <w:r>
        <w:rPr>
          <w:sz w:val="26"/>
        </w:rPr>
        <w:t>организации</w:t>
      </w:r>
    </w:p>
    <w:p w14:paraId="0B000000">
      <w:pPr>
        <w:ind w:firstLine="567"/>
        <w:rPr>
          <w:sz w:val="24"/>
        </w:rPr>
      </w:pPr>
      <w:r>
        <w:rPr>
          <w:sz w:val="24"/>
        </w:rPr>
        <w:t>Уведомляю</w:t>
      </w:r>
      <w:r>
        <w:rPr>
          <w:sz w:val="24"/>
        </w:rPr>
        <w:t xml:space="preserve"> о</w:t>
      </w:r>
      <w:r>
        <w:rPr>
          <w:sz w:val="24"/>
        </w:rPr>
        <w:t xml:space="preserve"> принятом</w:t>
      </w:r>
      <w:r>
        <w:rPr>
          <w:sz w:val="24"/>
        </w:rPr>
        <w:t xml:space="preserve"> мною</w:t>
      </w:r>
      <w:r>
        <w:rPr>
          <w:sz w:val="24"/>
        </w:rPr>
        <w:t xml:space="preserve"> решении</w:t>
      </w:r>
      <w:r>
        <w:rPr>
          <w:sz w:val="24"/>
        </w:rPr>
        <w:t xml:space="preserve"> отказаться</w:t>
      </w:r>
      <w:r>
        <w:rPr>
          <w:sz w:val="24"/>
        </w:rPr>
        <w:t xml:space="preserve"> от</w:t>
      </w:r>
      <w:r>
        <w:rPr>
          <w:sz w:val="24"/>
        </w:rPr>
        <w:t xml:space="preserve"> получения</w:t>
      </w:r>
    </w:p>
    <w:p w14:paraId="0C000000">
      <w:pPr>
        <w:rPr>
          <w:sz w:val="24"/>
        </w:rPr>
      </w:pPr>
    </w:p>
    <w:p w14:paraId="0D000000">
      <w:pPr>
        <w:ind/>
        <w:jc w:val="center"/>
      </w:pPr>
      <w:r>
        <w:t>(наименование</w:t>
      </w:r>
      <w:r>
        <w:t xml:space="preserve"> почетного</w:t>
      </w:r>
      <w:r>
        <w:t xml:space="preserve"> или</w:t>
      </w:r>
      <w:r>
        <w:t xml:space="preserve"> специального</w:t>
      </w:r>
      <w:r>
        <w:t xml:space="preserve"> звания</w:t>
      </w:r>
      <w:r>
        <w:t>, награды</w:t>
      </w:r>
      <w:r>
        <w:t xml:space="preserve"> или</w:t>
      </w:r>
      <w:r>
        <w:t xml:space="preserve"> иного</w:t>
      </w:r>
      <w:r>
        <w:t xml:space="preserve"> знака</w:t>
      </w:r>
      <w:r>
        <w:t xml:space="preserve"> отличия</w:t>
      </w:r>
      <w:r>
        <w:t>)</w:t>
      </w:r>
    </w:p>
    <w:p w14:paraId="0E000000">
      <w:pPr>
        <w:rPr>
          <w:sz w:val="24"/>
        </w:rPr>
      </w:pPr>
    </w:p>
    <w:p w14:paraId="0F000000">
      <w:pPr>
        <w:spacing w:after="960"/>
        <w:ind/>
        <w:jc w:val="center"/>
      </w:pPr>
      <w:r>
        <w:t>(за</w:t>
      </w:r>
      <w:r>
        <w:t xml:space="preserve"> какие</w:t>
      </w:r>
      <w:r>
        <w:t xml:space="preserve"> заслуги</w:t>
      </w:r>
      <w:r>
        <w:t xml:space="preserve"> присвоено</w:t>
      </w:r>
      <w:r>
        <w:t xml:space="preserve"> и</w:t>
      </w:r>
      <w:r>
        <w:t xml:space="preserve"> кем</w:t>
      </w:r>
      <w:r>
        <w:t>, за</w:t>
      </w:r>
      <w:r>
        <w:t xml:space="preserve"> какие</w:t>
      </w:r>
      <w:r>
        <w:t xml:space="preserve"> заслуги</w:t>
      </w:r>
      <w:r>
        <w:t xml:space="preserve"> награжден</w:t>
      </w:r>
      <w:r>
        <w:t>(а</w:t>
      </w:r>
      <w:r>
        <w:t>) и</w:t>
      </w:r>
      <w:r>
        <w:t xml:space="preserve"> кем</w:t>
      </w:r>
      <w:r>
        <w:t>)</w:t>
      </w:r>
    </w:p>
    <w:tbl>
      <w:tblPr>
        <w:tblStyle w:val="Style_1"/>
        <w:tblW w:type="auto" w:w="0"/>
        <w:jc w:val="left"/>
        <w:tblLayout w:type="fixed"/>
        <w:tblCellMar>
          <w:top w:type="dxa" w:w="0"/>
          <w:left w:type="dxa" w:w="28"/>
          <w:bottom w:type="dxa" w:w="0"/>
          <w:right w:type="dxa" w:w="28"/>
        </w:tblCellMar>
      </w:tblPr>
      <w:tblGrid>
        <w:gridCol w:w="198"/>
        <w:gridCol w:w="397"/>
        <w:gridCol w:w="255"/>
        <w:gridCol w:w="1701"/>
        <w:gridCol w:w="397"/>
        <w:gridCol w:w="369"/>
        <w:gridCol w:w="567"/>
        <w:gridCol w:w="1701"/>
        <w:gridCol w:w="425"/>
        <w:gridCol w:w="3969"/>
      </w:tblGrid>
      <w:tr>
        <w:tc>
          <w:tcPr>
            <w:tcW w:type="dxa" w:w="198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0000000">
            <w:pPr>
              <w:spacing w:after="0" w:line="240" w:lineRule="auto"/>
              <w:ind/>
              <w:jc w:val="right"/>
              <w:rPr>
                <w:sz w:val="24"/>
              </w:rPr>
            </w:pPr>
            <w:r>
              <w:rPr>
                <w:sz w:val="24"/>
              </w:rPr>
              <w:t>“</w:t>
            </w:r>
          </w:p>
        </w:tc>
        <w:tc>
          <w:tcPr>
            <w:tcW w:type="dxa" w:w="397"/>
            <w:tcBorders>
              <w:top w:sz="4" w:val="nil"/>
              <w:left w:sz="4" w:val="nil"/>
              <w:bottom w:color="000000" w:sz="4" w:val="single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1000000">
            <w:pPr>
              <w:spacing w:after="0" w:line="240" w:lineRule="auto"/>
              <w:ind/>
              <w:jc w:val="center"/>
              <w:rPr>
                <w:sz w:val="24"/>
              </w:rPr>
            </w:pPr>
          </w:p>
        </w:tc>
        <w:tc>
          <w:tcPr>
            <w:tcW w:type="dxa" w:w="255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2000000">
            <w:pPr>
              <w:spacing w:after="0" w:line="240" w:lineRule="auto"/>
              <w:ind/>
              <w:rPr>
                <w:sz w:val="24"/>
              </w:rPr>
            </w:pPr>
            <w:r>
              <w:rPr>
                <w:sz w:val="24"/>
              </w:rPr>
              <w:t>”</w:t>
            </w:r>
          </w:p>
        </w:tc>
        <w:tc>
          <w:tcPr>
            <w:tcW w:type="dxa" w:w="1701"/>
            <w:tcBorders>
              <w:top w:sz="4" w:val="nil"/>
              <w:left w:sz="4" w:val="nil"/>
              <w:bottom w:color="000000" w:sz="4" w:val="single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3000000">
            <w:pPr>
              <w:spacing w:after="0" w:line="240" w:lineRule="auto"/>
              <w:ind/>
              <w:jc w:val="center"/>
              <w:rPr>
                <w:sz w:val="24"/>
              </w:rPr>
            </w:pPr>
          </w:p>
        </w:tc>
        <w:tc>
          <w:tcPr>
            <w:tcW w:type="dxa" w:w="397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4000000">
            <w:pPr>
              <w:spacing w:after="0" w:line="240" w:lineRule="auto"/>
              <w:ind/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type="dxa" w:w="369"/>
            <w:tcBorders>
              <w:top w:sz="4" w:val="nil"/>
              <w:left w:sz="4" w:val="nil"/>
              <w:bottom w:color="000000" w:sz="4" w:val="single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5000000">
            <w:pPr>
              <w:spacing w:after="0" w:line="240" w:lineRule="auto"/>
              <w:ind/>
              <w:rPr>
                <w:sz w:val="24"/>
              </w:rPr>
            </w:pPr>
          </w:p>
        </w:tc>
        <w:tc>
          <w:tcPr>
            <w:tcW w:type="dxa" w:w="567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6000000">
            <w:pPr>
              <w:spacing w:after="0" w:line="240" w:lineRule="auto"/>
              <w:ind w:left="57"/>
              <w:rPr>
                <w:sz w:val="24"/>
              </w:rPr>
            </w:pPr>
            <w:r>
              <w:rPr>
                <w:sz w:val="24"/>
              </w:rPr>
              <w:t>г.</w:t>
            </w:r>
          </w:p>
        </w:tc>
        <w:tc>
          <w:tcPr>
            <w:tcW w:type="dxa" w:w="1701"/>
            <w:tcBorders>
              <w:top w:sz="4" w:val="nil"/>
              <w:left w:sz="4" w:val="nil"/>
              <w:bottom w:color="000000" w:sz="4" w:val="single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7000000">
            <w:pPr>
              <w:spacing w:after="0" w:line="240" w:lineRule="auto"/>
              <w:ind/>
              <w:jc w:val="center"/>
              <w:rPr>
                <w:sz w:val="24"/>
              </w:rPr>
            </w:pPr>
          </w:p>
        </w:tc>
        <w:tc>
          <w:tcPr>
            <w:tcW w:type="dxa" w:w="425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8000000">
            <w:pPr>
              <w:spacing w:after="0" w:line="240" w:lineRule="auto"/>
              <w:ind/>
              <w:jc w:val="center"/>
              <w:rPr>
                <w:sz w:val="24"/>
              </w:rPr>
            </w:pPr>
          </w:p>
        </w:tc>
        <w:tc>
          <w:tcPr>
            <w:tcW w:type="dxa" w:w="3969"/>
            <w:tcBorders>
              <w:top w:sz="4" w:val="nil"/>
              <w:left w:sz="4" w:val="nil"/>
              <w:bottom w:color="000000" w:sz="4" w:val="single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bottom"/>
          </w:tcPr>
          <w:p w14:paraId="19000000">
            <w:pPr>
              <w:spacing w:after="0" w:line="240" w:lineRule="auto"/>
              <w:ind/>
              <w:jc w:val="center"/>
              <w:rPr>
                <w:sz w:val="24"/>
              </w:rPr>
            </w:pPr>
          </w:p>
        </w:tc>
      </w:tr>
      <w:tr>
        <w:tc>
          <w:tcPr>
            <w:tcW w:type="dxa" w:w="198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1A000000">
            <w:pPr>
              <w:spacing w:after="0" w:line="240" w:lineRule="auto"/>
              <w:ind/>
              <w:jc w:val="right"/>
            </w:pPr>
          </w:p>
        </w:tc>
        <w:tc>
          <w:tcPr>
            <w:tcW w:type="dxa" w:w="397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1B000000">
            <w:pPr>
              <w:spacing w:after="0" w:line="240" w:lineRule="auto"/>
              <w:ind/>
              <w:jc w:val="center"/>
            </w:pPr>
          </w:p>
        </w:tc>
        <w:tc>
          <w:tcPr>
            <w:tcW w:type="dxa" w:w="255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1C000000">
            <w:pPr>
              <w:spacing w:after="0" w:line="240" w:lineRule="auto"/>
              <w:ind/>
            </w:pPr>
          </w:p>
        </w:tc>
        <w:tc>
          <w:tcPr>
            <w:tcW w:type="dxa" w:w="1701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1D000000">
            <w:pPr>
              <w:spacing w:after="0" w:line="240" w:lineRule="auto"/>
              <w:ind/>
              <w:jc w:val="center"/>
            </w:pPr>
          </w:p>
        </w:tc>
        <w:tc>
          <w:tcPr>
            <w:tcW w:type="dxa" w:w="397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1E000000">
            <w:pPr>
              <w:spacing w:after="0" w:line="240" w:lineRule="auto"/>
              <w:ind/>
              <w:jc w:val="right"/>
            </w:pPr>
          </w:p>
        </w:tc>
        <w:tc>
          <w:tcPr>
            <w:tcW w:type="dxa" w:w="369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1F000000">
            <w:pPr>
              <w:spacing w:after="0" w:line="240" w:lineRule="auto"/>
              <w:ind/>
            </w:pPr>
          </w:p>
        </w:tc>
        <w:tc>
          <w:tcPr>
            <w:tcW w:type="dxa" w:w="567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20000000">
            <w:pPr>
              <w:spacing w:after="0" w:line="240" w:lineRule="auto"/>
              <w:ind w:left="57"/>
            </w:pPr>
          </w:p>
        </w:tc>
        <w:tc>
          <w:tcPr>
            <w:tcW w:type="dxa" w:w="1701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21000000">
            <w:pPr>
              <w:spacing w:after="0" w:line="240" w:lineRule="auto"/>
              <w:ind/>
              <w:jc w:val="center"/>
            </w:pPr>
            <w:r>
              <w:t>(подпись</w:t>
            </w:r>
            <w:r>
              <w:t>)</w:t>
            </w:r>
          </w:p>
        </w:tc>
        <w:tc>
          <w:tcPr>
            <w:tcW w:type="dxa" w:w="425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22000000">
            <w:pPr>
              <w:spacing w:after="0" w:line="240" w:lineRule="auto"/>
              <w:ind/>
              <w:jc w:val="center"/>
            </w:pPr>
          </w:p>
        </w:tc>
        <w:tc>
          <w:tcPr>
            <w:tcW w:type="dxa" w:w="3969"/>
            <w:tcBorders>
              <w:top w:sz="4" w:val="nil"/>
              <w:left w:sz="4" w:val="nil"/>
              <w:bottom w:sz="4" w:val="nil"/>
              <w:right w:sz="4" w:val="nil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top"/>
          </w:tcPr>
          <w:p w14:paraId="23000000">
            <w:pPr>
              <w:spacing w:after="0" w:line="240" w:lineRule="auto"/>
              <w:ind/>
              <w:jc w:val="center"/>
            </w:pPr>
            <w:r>
              <w:t>(расшифровка</w:t>
            </w:r>
            <w:r>
              <w:t xml:space="preserve"> подписи</w:t>
            </w:r>
            <w:r>
              <w:t>)</w:t>
            </w:r>
          </w:p>
        </w:tc>
      </w:tr>
    </w:tbl>
    <w:p w14:paraId="24000000">
      <w:pPr>
        <w:rPr>
          <w:sz w:val="24"/>
        </w:rPr>
      </w:pPr>
    </w:p>
    <w:sectPr>
      <w:pgSz w:h="16838" w:orient="portrait" w:w="11906"/>
      <w:pgMar w:bottom="567" w:footer="397" w:gutter="0" w:header="397" w:left="1134" w:right="851" w:top="85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widowControl w:val="1"/>
      <w:ind w:left="0" w:right="0"/>
      <w:jc w:val="left"/>
    </w:pPr>
    <w:rPr>
      <w:rFonts w:ascii="Times New Roman" w:hAnsi="Times New Roman"/>
      <w:sz w:val="20"/>
    </w:rPr>
  </w:style>
  <w:style w:default="1" w:styleId="Style_2_ch" w:type="character">
    <w:name w:val="Normal"/>
    <w:link w:val="Style_2"/>
    <w:rPr>
      <w:rFonts w:ascii="Times New Roman" w:hAnsi="Times New Roman"/>
      <w:sz w:val="20"/>
    </w:rPr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2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footer"/>
    <w:basedOn w:val="Style_2"/>
    <w:link w:val="Style_9_ch"/>
    <w:pPr>
      <w:tabs>
        <w:tab w:leader="none" w:pos="4153" w:val="center"/>
        <w:tab w:leader="none" w:pos="8306" w:val="right"/>
      </w:tabs>
      <w:ind/>
      <w:jc w:val="left"/>
    </w:pPr>
  </w:style>
  <w:style w:styleId="Style_9_ch" w:type="character">
    <w:name w:val="footer"/>
    <w:basedOn w:val="Style_2_ch"/>
    <w:link w:val="Style_9"/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11" w:type="paragraph">
    <w:name w:val="ConsPlusNormal"/>
    <w:link w:val="Style_11_ch"/>
    <w:pPr>
      <w:widowControl w:val="1"/>
      <w:ind w:left="0" w:right="0"/>
      <w:jc w:val="left"/>
    </w:pPr>
    <w:rPr>
      <w:rFonts w:ascii="Arial" w:hAnsi="Arial"/>
      <w:sz w:val="24"/>
    </w:rPr>
  </w:style>
  <w:style w:styleId="Style_11_ch" w:type="character">
    <w:name w:val="ConsPlusNormal"/>
    <w:link w:val="Style_11"/>
    <w:rPr>
      <w:rFonts w:ascii="Arial" w:hAnsi="Arial"/>
      <w:sz w:val="24"/>
    </w:rPr>
  </w:style>
  <w:style w:styleId="Style_12" w:type="paragraph">
    <w:name w:val="header"/>
    <w:basedOn w:val="Style_2"/>
    <w:link w:val="Style_12_ch"/>
    <w:pPr>
      <w:tabs>
        <w:tab w:leader="none" w:pos="4153" w:val="center"/>
        <w:tab w:leader="none" w:pos="8306" w:val="right"/>
      </w:tabs>
      <w:ind/>
      <w:jc w:val="left"/>
    </w:pPr>
  </w:style>
  <w:style w:styleId="Style_12_ch" w:type="character">
    <w:name w:val="header"/>
    <w:basedOn w:val="Style_2_ch"/>
    <w:link w:val="Style_12"/>
  </w:style>
  <w:style w:styleId="Style_13" w:type="paragraph">
    <w:name w:val="toc 3"/>
    <w:next w:val="Style_2"/>
    <w:link w:val="Style_1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2"/>
    <w:link w:val="Style_14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2"/>
    <w:link w:val="Style_15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basedOn w:val="Style_2"/>
    <w:link w:val="Style_17_ch"/>
    <w:pPr>
      <w:ind/>
      <w:jc w:val="left"/>
    </w:pPr>
  </w:style>
  <w:style w:styleId="Style_17_ch" w:type="character">
    <w:name w:val="Footnote"/>
    <w:basedOn w:val="Style_2_ch"/>
    <w:link w:val="Style_17"/>
  </w:style>
  <w:style w:styleId="Style_18" w:type="paragraph">
    <w:name w:val="footnote reference"/>
    <w:basedOn w:val="Style_10"/>
    <w:link w:val="Style_18_ch"/>
    <w:rPr>
      <w:vertAlign w:val="superscript"/>
    </w:rPr>
  </w:style>
  <w:style w:styleId="Style_18_ch" w:type="character">
    <w:name w:val="footnote reference"/>
    <w:basedOn w:val="Style_10_ch"/>
    <w:link w:val="Style_18"/>
    <w:rPr>
      <w:vertAlign w:val="superscript"/>
    </w:rPr>
  </w:style>
  <w:style w:styleId="Style_19" w:type="paragraph">
    <w:name w:val="toc 1"/>
    <w:next w:val="Style_2"/>
    <w:link w:val="Style_19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ConsPlusNonformat"/>
    <w:link w:val="Style_20_ch"/>
    <w:pPr>
      <w:widowControl w:val="1"/>
      <w:ind w:left="0" w:right="0"/>
      <w:jc w:val="left"/>
    </w:pPr>
    <w:rPr>
      <w:rFonts w:ascii="Courier New" w:hAnsi="Courier New"/>
      <w:sz w:val="20"/>
    </w:rPr>
  </w:style>
  <w:style w:styleId="Style_20_ch" w:type="character">
    <w:name w:val="ConsPlusNonformat"/>
    <w:link w:val="Style_20"/>
    <w:rPr>
      <w:rFonts w:ascii="Courier New" w:hAnsi="Courier New"/>
      <w:sz w:val="20"/>
    </w:rPr>
  </w:style>
  <w:style w:styleId="Style_21" w:type="paragraph">
    <w:name w:val="Header and Footer"/>
    <w:link w:val="Style_21_ch"/>
    <w:pPr>
      <w:spacing w:line="240" w:lineRule="auto"/>
      <w:ind/>
      <w:jc w:val="both"/>
    </w:pPr>
    <w:rPr>
      <w:rFonts w:ascii="XO Thames" w:hAnsi="XO Thames"/>
      <w:sz w:val="28"/>
    </w:rPr>
  </w:style>
  <w:style w:styleId="Style_21_ch" w:type="character">
    <w:name w:val="Header and Footer"/>
    <w:link w:val="Style_21"/>
    <w:rPr>
      <w:rFonts w:ascii="XO Thames" w:hAnsi="XO Thames"/>
      <w:sz w:val="28"/>
    </w:rPr>
  </w:style>
  <w:style w:styleId="Style_22" w:type="paragraph">
    <w:name w:val="toc 9"/>
    <w:next w:val="Style_2"/>
    <w:link w:val="Style_22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toc 8"/>
    <w:next w:val="Style_2"/>
    <w:link w:val="Style_23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toc 5"/>
    <w:next w:val="Style_2"/>
    <w:link w:val="Style_24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4_ch" w:type="character">
    <w:name w:val="toc 5"/>
    <w:link w:val="Style_24"/>
    <w:rPr>
      <w:rFonts w:ascii="XO Thames" w:hAnsi="XO Thames"/>
      <w:sz w:val="28"/>
    </w:rPr>
  </w:style>
  <w:style w:styleId="Style_25" w:type="paragraph">
    <w:name w:val="Subtitle"/>
    <w:next w:val="Style_2"/>
    <w:link w:val="Style_25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Title"/>
    <w:next w:val="Style_2"/>
    <w:link w:val="Style_26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7" w:type="paragraph">
    <w:name w:val="heading 4"/>
    <w:next w:val="Style_2"/>
    <w:link w:val="Style_27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28" w:type="paragraph">
    <w:name w:val="heading 2"/>
    <w:next w:val="Style_2"/>
    <w:link w:val="Style_28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8_ch" w:type="character">
    <w:name w:val="heading 2"/>
    <w:link w:val="Style_28"/>
    <w:rPr>
      <w:rFonts w:ascii="XO Thames" w:hAnsi="XO Thames"/>
      <w:b w:val="1"/>
      <w:sz w:val="28"/>
    </w:rPr>
  </w:style>
  <w:style w:default="1" w:styleId="Style_1" w:type="table">
    <w:name w:val="Normal Table"/>
    <w:tblPr>
      <w:jc w:val="left"/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MyOffice-CoreFramework-Windows/34-1238.862.9476.867.1@6a6f965769ddd834e814912714f1fa4bc0274a9d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2025-09-08T05:58:40Z</dcterms:modified>
</cp:coreProperties>
</file>