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 w:left="4536"/>
        <w:rPr>
          <w:sz w:val="24"/>
        </w:rPr>
      </w:pPr>
      <w:r>
        <w:rPr>
          <w:sz w:val="24"/>
        </w:rPr>
        <w:t>Начальнику</w:t>
      </w:r>
      <w:r>
        <w:rPr>
          <w:sz w:val="24"/>
        </w:rPr>
        <w:t xml:space="preserve"> Управления</w:t>
      </w:r>
      <w:r>
        <w:rPr>
          <w:sz w:val="24"/>
        </w:rPr>
        <w:t xml:space="preserve"> </w:t>
      </w:r>
      <w:r>
        <w:rPr>
          <w:sz w:val="24"/>
        </w:rPr>
        <w:t>социальной</w:t>
      </w:r>
      <w:r>
        <w:rPr>
          <w:sz w:val="24"/>
        </w:rPr>
        <w:t xml:space="preserve"> политики</w:t>
      </w:r>
      <w:r>
        <w:rPr>
          <w:sz w:val="24"/>
        </w:rPr>
        <w:t xml:space="preserve"> </w:t>
      </w:r>
    </w:p>
    <w:p w14:paraId="02000000">
      <w:pPr>
        <w:ind w:left="4536"/>
        <w:rPr>
          <w:sz w:val="24"/>
        </w:rPr>
      </w:pPr>
      <w:r>
        <w:rPr>
          <w:sz w:val="24"/>
        </w:rPr>
        <w:t>№</w:t>
      </w:r>
      <w:r>
        <w:rPr>
          <w:sz w:val="24"/>
        </w:rPr>
        <w:t xml:space="preserve"> </w:t>
      </w:r>
      <w:r>
        <w:rPr>
          <w:sz w:val="24"/>
        </w:rPr>
        <w:t>9</w:t>
      </w:r>
    </w:p>
    <w:p w14:paraId="03000000">
      <w:pPr>
        <w:ind w:left="4536"/>
        <w:rPr>
          <w:sz w:val="24"/>
        </w:rPr>
      </w:pPr>
    </w:p>
    <w:p w14:paraId="04000000">
      <w:pPr>
        <w:ind w:left="4536"/>
        <w:rPr>
          <w:sz w:val="24"/>
        </w:rPr>
      </w:pPr>
      <w:r>
        <w:rPr>
          <w:sz w:val="24"/>
        </w:rPr>
        <w:t>С.П</w:t>
      </w:r>
      <w:r>
        <w:rPr>
          <w:sz w:val="24"/>
        </w:rPr>
        <w:t>. Казаковой</w:t>
      </w:r>
    </w:p>
    <w:p w14:paraId="05000000">
      <w:pPr>
        <w:ind w:left="4536"/>
        <w:rPr>
          <w:sz w:val="24"/>
        </w:rPr>
      </w:pPr>
    </w:p>
    <w:p w14:paraId="06000000">
      <w:pPr>
        <w:ind w:left="4536"/>
        <w:rPr>
          <w:sz w:val="24"/>
        </w:rPr>
      </w:pPr>
      <w:r>
        <w:rPr>
          <w:sz w:val="24"/>
        </w:rPr>
        <w:t>о</w:t>
      </w:r>
      <w:r>
        <w:rPr>
          <w:sz w:val="24"/>
        </w:rPr>
        <w:t>т</w:t>
      </w:r>
      <w:r>
        <w:rPr>
          <w:sz w:val="24"/>
        </w:rPr>
        <w:t xml:space="preserve">  </w:t>
      </w:r>
    </w:p>
    <w:p w14:paraId="07000000">
      <w:pPr>
        <w:ind w:left="4864"/>
        <w:jc w:val="center"/>
      </w:pPr>
      <w:r>
        <w:t>(ф.и.о</w:t>
      </w:r>
      <w:r>
        <w:t>., замещаемая</w:t>
      </w:r>
      <w:r>
        <w:t xml:space="preserve"> должность</w:t>
      </w:r>
      <w:r>
        <w:t>)</w:t>
      </w:r>
    </w:p>
    <w:p w14:paraId="08000000">
      <w:pPr>
        <w:ind/>
        <w:jc w:val="center"/>
        <w:rPr>
          <w:sz w:val="26"/>
        </w:rPr>
      </w:pPr>
    </w:p>
    <w:p w14:paraId="09000000">
      <w:pPr>
        <w:ind/>
        <w:jc w:val="center"/>
        <w:rPr>
          <w:sz w:val="26"/>
        </w:rPr>
      </w:pPr>
    </w:p>
    <w:p w14:paraId="0A000000">
      <w:pPr>
        <w:ind/>
        <w:jc w:val="center"/>
        <w:rPr>
          <w:sz w:val="26"/>
        </w:rPr>
      </w:pPr>
      <w:r>
        <w:rPr>
          <w:sz w:val="26"/>
        </w:rPr>
        <w:t>Ходатайство</w:t>
      </w:r>
      <w:r>
        <w:rPr>
          <w:sz w:val="26"/>
        </w:rPr>
        <w:br/>
      </w:r>
      <w:r>
        <w:rPr>
          <w:sz w:val="26"/>
        </w:rPr>
        <w:t>о</w:t>
      </w:r>
      <w:r>
        <w:rPr>
          <w:sz w:val="26"/>
        </w:rPr>
        <w:t xml:space="preserve"> разрешении</w:t>
      </w:r>
      <w:r>
        <w:rPr>
          <w:sz w:val="26"/>
        </w:rPr>
        <w:t xml:space="preserve"> принять</w:t>
      </w:r>
      <w:r>
        <w:rPr>
          <w:sz w:val="26"/>
        </w:rPr>
        <w:t xml:space="preserve"> почетное</w:t>
      </w:r>
      <w:r>
        <w:rPr>
          <w:sz w:val="26"/>
        </w:rPr>
        <w:t xml:space="preserve"> или</w:t>
      </w:r>
      <w:r>
        <w:rPr>
          <w:sz w:val="26"/>
        </w:rPr>
        <w:t xml:space="preserve"> специальное</w:t>
      </w:r>
      <w:r>
        <w:rPr>
          <w:sz w:val="26"/>
        </w:rPr>
        <w:t xml:space="preserve"> звание</w:t>
      </w:r>
      <w:r>
        <w:rPr>
          <w:sz w:val="26"/>
        </w:rPr>
        <w:t>, награду</w:t>
      </w:r>
      <w:r>
        <w:rPr>
          <w:sz w:val="26"/>
        </w:rPr>
        <w:br/>
      </w:r>
      <w:r>
        <w:rPr>
          <w:sz w:val="26"/>
        </w:rPr>
        <w:t>или</w:t>
      </w:r>
      <w:r>
        <w:rPr>
          <w:sz w:val="26"/>
        </w:rPr>
        <w:t xml:space="preserve"> иной</w:t>
      </w:r>
      <w:r>
        <w:rPr>
          <w:sz w:val="26"/>
        </w:rPr>
        <w:t xml:space="preserve"> знак</w:t>
      </w:r>
      <w:r>
        <w:rPr>
          <w:sz w:val="26"/>
        </w:rPr>
        <w:t xml:space="preserve"> отличия</w:t>
      </w:r>
      <w:r>
        <w:rPr>
          <w:sz w:val="26"/>
        </w:rPr>
        <w:t xml:space="preserve"> иностранного</w:t>
      </w:r>
      <w:r>
        <w:rPr>
          <w:sz w:val="26"/>
        </w:rPr>
        <w:t xml:space="preserve"> государства</w:t>
      </w:r>
      <w:r>
        <w:rPr>
          <w:sz w:val="26"/>
        </w:rPr>
        <w:t>, международной</w:t>
      </w:r>
      <w:r>
        <w:rPr>
          <w:sz w:val="26"/>
        </w:rPr>
        <w:br/>
      </w:r>
      <w:r>
        <w:rPr>
          <w:sz w:val="26"/>
        </w:rPr>
        <w:t>организации</w:t>
      </w:r>
      <w:r>
        <w:rPr>
          <w:sz w:val="26"/>
        </w:rPr>
        <w:t>, политической</w:t>
      </w:r>
      <w:r>
        <w:rPr>
          <w:sz w:val="26"/>
        </w:rPr>
        <w:t xml:space="preserve"> партии</w:t>
      </w:r>
      <w:r>
        <w:rPr>
          <w:sz w:val="26"/>
        </w:rPr>
        <w:t>, иного</w:t>
      </w:r>
      <w:r>
        <w:rPr>
          <w:sz w:val="26"/>
        </w:rPr>
        <w:t xml:space="preserve"> общественного</w:t>
      </w:r>
      <w:r>
        <w:rPr>
          <w:sz w:val="26"/>
        </w:rPr>
        <w:t xml:space="preserve"> объединения</w:t>
      </w:r>
      <w:r>
        <w:rPr>
          <w:sz w:val="26"/>
        </w:rPr>
        <w:br/>
      </w:r>
      <w:r>
        <w:rPr>
          <w:sz w:val="26"/>
        </w:rPr>
        <w:t>или</w:t>
      </w:r>
      <w:r>
        <w:rPr>
          <w:sz w:val="26"/>
        </w:rPr>
        <w:t xml:space="preserve"> другой</w:t>
      </w:r>
      <w:r>
        <w:rPr>
          <w:sz w:val="26"/>
        </w:rPr>
        <w:t xml:space="preserve"> органи</w:t>
      </w:r>
      <w:r>
        <w:rPr>
          <w:sz w:val="26"/>
        </w:rPr>
        <w:t>зации</w:t>
      </w:r>
      <w:r>
        <w:rPr>
          <w:sz w:val="26"/>
        </w:rPr>
        <w:t xml:space="preserve"> </w:t>
      </w:r>
      <w:r>
        <w:rPr>
          <w:rStyle w:val="Style_1_ch"/>
          <w:sz w:val="26"/>
        </w:rPr>
        <w:endnoteReference w:id="1"/>
      </w:r>
    </w:p>
    <w:p w14:paraId="0B000000">
      <w:pPr>
        <w:rPr>
          <w:sz w:val="24"/>
        </w:rPr>
      </w:pPr>
      <w:r>
        <w:rPr>
          <w:sz w:val="24"/>
        </w:rPr>
        <w:t>Прошу</w:t>
      </w:r>
      <w:r>
        <w:rPr>
          <w:sz w:val="24"/>
        </w:rPr>
        <w:t xml:space="preserve"> разрешить</w:t>
      </w:r>
      <w:r>
        <w:rPr>
          <w:sz w:val="24"/>
        </w:rPr>
        <w:t xml:space="preserve"> мне</w:t>
      </w:r>
      <w:r>
        <w:rPr>
          <w:sz w:val="24"/>
        </w:rPr>
        <w:t xml:space="preserve"> принять</w:t>
      </w:r>
      <w:r>
        <w:rPr>
          <w:sz w:val="24"/>
        </w:rPr>
        <w:t xml:space="preserve">  </w:t>
      </w:r>
    </w:p>
    <w:p w14:paraId="0C000000">
      <w:pPr>
        <w:ind w:left="3285"/>
        <w:jc w:val="center"/>
      </w:pPr>
      <w:r>
        <w:t>(наименование</w:t>
      </w:r>
      <w:r>
        <w:t xml:space="preserve"> почетного</w:t>
      </w:r>
      <w:r>
        <w:t xml:space="preserve"> или</w:t>
      </w:r>
      <w:r>
        <w:t xml:space="preserve"> специ</w:t>
      </w:r>
      <w:r>
        <w:t>ального</w:t>
      </w:r>
      <w:r>
        <w:t xml:space="preserve"> звания</w:t>
      </w:r>
      <w:r>
        <w:t>, награды</w:t>
      </w:r>
      <w:r>
        <w:t xml:space="preserve"> или</w:t>
      </w:r>
      <w:r>
        <w:t xml:space="preserve"> иного</w:t>
      </w:r>
      <w:r>
        <w:t xml:space="preserve"> знака</w:t>
      </w:r>
      <w:r>
        <w:t xml:space="preserve"> отличия</w:t>
      </w:r>
      <w:r>
        <w:t>)</w:t>
      </w:r>
    </w:p>
    <w:p w14:paraId="0D000000">
      <w:pPr>
        <w:rPr>
          <w:sz w:val="24"/>
        </w:rPr>
      </w:pPr>
    </w:p>
    <w:p w14:paraId="0E000000">
      <w:pPr>
        <w:ind/>
        <w:jc w:val="center"/>
      </w:pPr>
      <w:r>
        <w:t>(за</w:t>
      </w:r>
      <w:r>
        <w:t xml:space="preserve"> какие</w:t>
      </w:r>
      <w:r>
        <w:t xml:space="preserve"> заслуги</w:t>
      </w:r>
      <w:r>
        <w:t xml:space="preserve"> присвоено</w:t>
      </w:r>
      <w:r>
        <w:t xml:space="preserve"> и</w:t>
      </w:r>
      <w:r>
        <w:t xml:space="preserve"> кем</w:t>
      </w:r>
      <w:r>
        <w:t>, за</w:t>
      </w:r>
      <w:r>
        <w:t xml:space="preserve"> какие</w:t>
      </w:r>
      <w:r>
        <w:t xml:space="preserve"> заслуги</w:t>
      </w:r>
      <w:r>
        <w:t xml:space="preserve"> награжден</w:t>
      </w:r>
      <w:r>
        <w:t>(а</w:t>
      </w:r>
      <w:r>
        <w:t>) и</w:t>
      </w:r>
      <w:r>
        <w:t xml:space="preserve"> кем</w:t>
      </w:r>
      <w:r>
        <w:t>)</w:t>
      </w:r>
    </w:p>
    <w:p w14:paraId="0F000000">
      <w:pPr>
        <w:rPr>
          <w:sz w:val="24"/>
        </w:rPr>
      </w:pPr>
    </w:p>
    <w:p w14:paraId="10000000">
      <w:pPr>
        <w:ind/>
        <w:jc w:val="center"/>
      </w:pPr>
      <w:r>
        <w:t>(дата</w:t>
      </w:r>
      <w:r>
        <w:t xml:space="preserve"> и</w:t>
      </w:r>
      <w:r>
        <w:t xml:space="preserve"> место</w:t>
      </w:r>
      <w:r>
        <w:t xml:space="preserve"> предстоящего</w:t>
      </w:r>
      <w:r>
        <w:t xml:space="preserve"> вручения</w:t>
      </w:r>
      <w:r>
        <w:t xml:space="preserve"> (состоявшегося</w:t>
      </w:r>
      <w:r>
        <w:t xml:space="preserve"> вручения</w:t>
      </w:r>
      <w:r>
        <w:t>)</w:t>
      </w:r>
      <w:r>
        <w:br/>
      </w:r>
      <w:r>
        <w:t>документов</w:t>
      </w:r>
      <w:r>
        <w:t xml:space="preserve"> к</w:t>
      </w:r>
      <w:r>
        <w:t xml:space="preserve"> почетному</w:t>
      </w:r>
      <w:r>
        <w:t xml:space="preserve"> или</w:t>
      </w:r>
      <w:r>
        <w:t xml:space="preserve"> специальному</w:t>
      </w:r>
      <w:r>
        <w:t xml:space="preserve"> званию</w:t>
      </w:r>
      <w:r>
        <w:t>, награды</w:t>
      </w:r>
      <w:r>
        <w:t xml:space="preserve"> или</w:t>
      </w:r>
      <w:r>
        <w:t xml:space="preserve"> иного</w:t>
      </w:r>
      <w:r>
        <w:t xml:space="preserve"> знака</w:t>
      </w:r>
      <w:r>
        <w:t xml:space="preserve"> </w:t>
      </w:r>
      <w:r>
        <w:t>отличия</w:t>
      </w:r>
      <w:r>
        <w:t>)</w:t>
      </w:r>
    </w:p>
    <w:p w14:paraId="11000000">
      <w:pPr>
        <w:ind/>
        <w:jc w:val="both"/>
        <w:rPr>
          <w:sz w:val="24"/>
        </w:rPr>
      </w:pPr>
      <w:r>
        <w:rPr>
          <w:sz w:val="24"/>
        </w:rPr>
        <w:t>Документы</w:t>
      </w:r>
      <w:r>
        <w:rPr>
          <w:sz w:val="24"/>
        </w:rPr>
        <w:t xml:space="preserve"> к</w:t>
      </w:r>
      <w:r>
        <w:rPr>
          <w:sz w:val="24"/>
        </w:rPr>
        <w:t xml:space="preserve"> почетному</w:t>
      </w:r>
      <w:r>
        <w:rPr>
          <w:sz w:val="24"/>
        </w:rPr>
        <w:t xml:space="preserve"> или</w:t>
      </w:r>
      <w:r>
        <w:rPr>
          <w:sz w:val="24"/>
        </w:rPr>
        <w:t xml:space="preserve"> специальному</w:t>
      </w:r>
      <w:r>
        <w:rPr>
          <w:sz w:val="24"/>
        </w:rPr>
        <w:t xml:space="preserve"> званию</w:t>
      </w:r>
      <w:r>
        <w:rPr>
          <w:sz w:val="24"/>
        </w:rPr>
        <w:t>, награда</w:t>
      </w:r>
      <w:r>
        <w:rPr>
          <w:sz w:val="24"/>
        </w:rPr>
        <w:t xml:space="preserve"> и</w:t>
      </w:r>
      <w:r>
        <w:rPr>
          <w:sz w:val="24"/>
        </w:rPr>
        <w:t xml:space="preserve"> документы</w:t>
      </w:r>
      <w:r>
        <w:rPr>
          <w:sz w:val="24"/>
        </w:rPr>
        <w:t xml:space="preserve"> к</w:t>
      </w:r>
      <w:r>
        <w:rPr>
          <w:sz w:val="24"/>
        </w:rPr>
        <w:t xml:space="preserve"> ней</w:t>
      </w:r>
      <w:r>
        <w:rPr>
          <w:sz w:val="24"/>
        </w:rPr>
        <w:t>, знак</w:t>
      </w:r>
      <w:r>
        <w:rPr>
          <w:sz w:val="24"/>
        </w:rPr>
        <w:t xml:space="preserve"> отличия</w:t>
      </w:r>
      <w:r>
        <w:rPr>
          <w:sz w:val="24"/>
        </w:rPr>
        <w:t xml:space="preserve"> и</w:t>
      </w:r>
      <w:r>
        <w:rPr>
          <w:sz w:val="24"/>
        </w:rPr>
        <w:t xml:space="preserve"> документы</w:t>
      </w:r>
      <w:r>
        <w:rPr>
          <w:sz w:val="24"/>
        </w:rPr>
        <w:t xml:space="preserve"> к</w:t>
      </w:r>
      <w:r>
        <w:rPr>
          <w:sz w:val="24"/>
        </w:rPr>
        <w:t xml:space="preserve"> нему</w:t>
      </w:r>
      <w:r>
        <w:rPr>
          <w:sz w:val="24"/>
        </w:rPr>
        <w:t xml:space="preserve"> (нужное</w:t>
      </w:r>
      <w:r>
        <w:rPr>
          <w:sz w:val="24"/>
        </w:rPr>
        <w:t xml:space="preserve"> подчеркнуть</w:t>
      </w:r>
      <w:r>
        <w:rPr>
          <w:sz w:val="24"/>
        </w:rPr>
        <w:t>)</w:t>
      </w:r>
    </w:p>
    <w:p w14:paraId="12000000">
      <w:pPr>
        <w:rPr>
          <w:sz w:val="24"/>
        </w:rPr>
      </w:pPr>
    </w:p>
    <w:p w14:paraId="13000000">
      <w:pPr>
        <w:ind/>
        <w:jc w:val="center"/>
      </w:pPr>
      <w:r>
        <w:t>(наименование</w:t>
      </w:r>
      <w:r>
        <w:t xml:space="preserve"> документов</w:t>
      </w:r>
      <w:r>
        <w:t xml:space="preserve"> к</w:t>
      </w:r>
      <w:r>
        <w:t xml:space="preserve"> почетному</w:t>
      </w:r>
      <w:r>
        <w:t xml:space="preserve"> или</w:t>
      </w:r>
      <w:r>
        <w:t xml:space="preserve"> специальному</w:t>
      </w:r>
      <w:r>
        <w:t xml:space="preserve"> званию</w:t>
      </w:r>
      <w:r>
        <w:t>, награде</w:t>
      </w:r>
      <w:r>
        <w:t xml:space="preserve"> или</w:t>
      </w:r>
      <w:r>
        <w:t xml:space="preserve"> иному</w:t>
      </w:r>
      <w:r>
        <w:t xml:space="preserve"> знаку</w:t>
      </w:r>
      <w:r>
        <w:t xml:space="preserve"> отличия</w:t>
      </w:r>
      <w:r>
        <w:t>)</w:t>
      </w:r>
    </w:p>
    <w:tbl>
      <w:tblPr>
        <w:tblStyle w:val="Style_2"/>
        <w:tblW w:type="auto" w:w="0"/>
        <w:jc w:val="left"/>
        <w:tblLayout w:type="fixed"/>
        <w:tblCellMar>
          <w:top w:type="dxa" w:w="0"/>
          <w:left w:type="dxa" w:w="28"/>
          <w:bottom w:type="dxa" w:w="0"/>
          <w:right w:type="dxa" w:w="28"/>
        </w:tblCellMar>
      </w:tblPr>
      <w:tblGrid>
        <w:gridCol w:w="3686"/>
        <w:gridCol w:w="1418"/>
        <w:gridCol w:w="510"/>
        <w:gridCol w:w="397"/>
        <w:gridCol w:w="255"/>
        <w:gridCol w:w="2665"/>
        <w:gridCol w:w="397"/>
        <w:gridCol w:w="369"/>
        <w:gridCol w:w="340"/>
      </w:tblGrid>
      <w:tr>
        <w:tc>
          <w:tcPr>
            <w:tcW w:type="dxa" w:w="3686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4000000">
            <w:pPr>
              <w:spacing w:after="0" w:line="240" w:lineRule="auto"/>
              <w:ind/>
              <w:rPr>
                <w:sz w:val="24"/>
              </w:rPr>
            </w:pPr>
            <w:r>
              <w:rPr>
                <w:sz w:val="24"/>
              </w:rPr>
              <w:t>сданы</w:t>
            </w:r>
            <w:r>
              <w:rPr>
                <w:sz w:val="24"/>
              </w:rPr>
              <w:t xml:space="preserve"> по</w:t>
            </w:r>
            <w:r>
              <w:rPr>
                <w:sz w:val="24"/>
              </w:rPr>
              <w:t xml:space="preserve"> акту</w:t>
            </w:r>
            <w:r>
              <w:rPr>
                <w:sz w:val="24"/>
              </w:rPr>
              <w:t xml:space="preserve"> приема-пер</w:t>
            </w:r>
            <w:r>
              <w:rPr>
                <w:sz w:val="24"/>
              </w:rPr>
              <w:t>едачи</w:t>
            </w:r>
            <w:r>
              <w:rPr>
                <w:sz w:val="24"/>
              </w:rPr>
              <w:t xml:space="preserve"> №</w:t>
            </w:r>
          </w:p>
        </w:tc>
        <w:tc>
          <w:tcPr>
            <w:tcW w:type="dxa" w:w="1418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5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51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6000000">
            <w:pPr>
              <w:spacing w:after="0" w:line="240" w:lineRule="auto"/>
              <w:ind/>
              <w:jc w:val="right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z w:val="24"/>
              </w:rPr>
              <w:t xml:space="preserve"> “</w:t>
            </w:r>
          </w:p>
        </w:tc>
        <w:tc>
          <w:tcPr>
            <w:tcW w:type="dxa" w:w="397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7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25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8000000">
            <w:pPr>
              <w:spacing w:after="0" w:line="240" w:lineRule="auto"/>
              <w:ind/>
              <w:rPr>
                <w:sz w:val="24"/>
              </w:rPr>
            </w:pPr>
            <w:r>
              <w:rPr>
                <w:sz w:val="24"/>
              </w:rPr>
              <w:t>”</w:t>
            </w:r>
          </w:p>
        </w:tc>
        <w:tc>
          <w:tcPr>
            <w:tcW w:type="dxa" w:w="2665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9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39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A000000">
            <w:pPr>
              <w:spacing w:after="0" w:line="240" w:lineRule="auto"/>
              <w:ind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type="dxa" w:w="369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B000000">
            <w:pPr>
              <w:spacing w:after="0" w:line="240" w:lineRule="auto"/>
              <w:ind/>
              <w:rPr>
                <w:sz w:val="24"/>
              </w:rPr>
            </w:pPr>
          </w:p>
        </w:tc>
        <w:tc>
          <w:tcPr>
            <w:tcW w:type="dxa" w:w="34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C000000">
            <w:pPr>
              <w:spacing w:after="0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г.</w:t>
            </w:r>
          </w:p>
        </w:tc>
      </w:tr>
    </w:tbl>
    <w:p w14:paraId="1D000000">
      <w:pPr>
        <w:rPr>
          <w:sz w:val="24"/>
        </w:rPr>
      </w:pPr>
      <w:r>
        <w:rPr>
          <w:sz w:val="24"/>
        </w:rPr>
        <w:t>в</w:t>
      </w:r>
      <w:r>
        <w:rPr>
          <w:sz w:val="24"/>
        </w:rPr>
        <w:t xml:space="preserve">  </w:t>
      </w:r>
    </w:p>
    <w:p w14:paraId="1E000000">
      <w:pPr>
        <w:ind w:left="210"/>
        <w:jc w:val="center"/>
      </w:pPr>
      <w:r>
        <w:t>(наименование</w:t>
      </w:r>
      <w:r>
        <w:t xml:space="preserve"> кадрового</w:t>
      </w:r>
      <w:r>
        <w:t xml:space="preserve"> подразделения</w:t>
      </w:r>
      <w:r>
        <w:t>)</w:t>
      </w:r>
    </w:p>
    <w:tbl>
      <w:tblPr>
        <w:tblStyle w:val="Style_2"/>
        <w:tblW w:type="auto" w:w="0"/>
        <w:jc w:val="left"/>
        <w:tblLayout w:type="fixed"/>
        <w:tblCellMar>
          <w:top w:type="dxa" w:w="0"/>
          <w:left w:type="dxa" w:w="28"/>
          <w:bottom w:type="dxa" w:w="0"/>
          <w:right w:type="dxa" w:w="28"/>
        </w:tblCellMar>
      </w:tblPr>
      <w:tblGrid>
        <w:gridCol w:w="198"/>
        <w:gridCol w:w="397"/>
        <w:gridCol w:w="255"/>
        <w:gridCol w:w="1701"/>
        <w:gridCol w:w="397"/>
        <w:gridCol w:w="369"/>
        <w:gridCol w:w="567"/>
        <w:gridCol w:w="1701"/>
        <w:gridCol w:w="425"/>
        <w:gridCol w:w="3969"/>
      </w:tblGrid>
      <w:tr>
        <w:tc>
          <w:tcPr>
            <w:tcW w:type="dxa" w:w="198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F000000">
            <w:pPr>
              <w:spacing w:after="0" w:line="240" w:lineRule="auto"/>
              <w:ind/>
              <w:jc w:val="right"/>
              <w:rPr>
                <w:sz w:val="24"/>
              </w:rPr>
            </w:pPr>
            <w:r>
              <w:rPr>
                <w:sz w:val="24"/>
              </w:rPr>
              <w:t>“</w:t>
            </w:r>
          </w:p>
        </w:tc>
        <w:tc>
          <w:tcPr>
            <w:tcW w:type="dxa" w:w="397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0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25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1000000">
            <w:pPr>
              <w:spacing w:after="0" w:line="240" w:lineRule="auto"/>
              <w:ind/>
              <w:rPr>
                <w:sz w:val="24"/>
              </w:rPr>
            </w:pPr>
            <w:r>
              <w:rPr>
                <w:sz w:val="24"/>
              </w:rPr>
              <w:t>”</w:t>
            </w:r>
          </w:p>
        </w:tc>
        <w:tc>
          <w:tcPr>
            <w:tcW w:type="dxa" w:w="1701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2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39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3000000">
            <w:pPr>
              <w:spacing w:after="0" w:line="240" w:lineRule="auto"/>
              <w:ind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type="dxa" w:w="369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4000000">
            <w:pPr>
              <w:spacing w:after="0" w:line="240" w:lineRule="auto"/>
              <w:ind/>
              <w:rPr>
                <w:sz w:val="24"/>
              </w:rPr>
            </w:pP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5000000">
            <w:pPr>
              <w:spacing w:after="0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г.</w:t>
            </w:r>
          </w:p>
        </w:tc>
        <w:tc>
          <w:tcPr>
            <w:tcW w:type="dxa" w:w="1701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6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42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7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3969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8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</w:tr>
      <w:tr>
        <w:tc>
          <w:tcPr>
            <w:tcW w:type="dxa" w:w="198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9000000">
            <w:pPr>
              <w:spacing w:after="0" w:line="240" w:lineRule="auto"/>
              <w:ind/>
              <w:jc w:val="right"/>
            </w:pPr>
          </w:p>
        </w:tc>
        <w:tc>
          <w:tcPr>
            <w:tcW w:type="dxa" w:w="39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A000000">
            <w:pPr>
              <w:spacing w:after="0" w:line="240" w:lineRule="auto"/>
              <w:ind/>
              <w:jc w:val="center"/>
            </w:pPr>
          </w:p>
        </w:tc>
        <w:tc>
          <w:tcPr>
            <w:tcW w:type="dxa" w:w="25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B000000">
            <w:pPr>
              <w:spacing w:after="0" w:line="240" w:lineRule="auto"/>
              <w:ind/>
            </w:pPr>
          </w:p>
        </w:tc>
        <w:tc>
          <w:tcPr>
            <w:tcW w:type="dxa" w:w="1701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C000000">
            <w:pPr>
              <w:spacing w:after="0" w:line="240" w:lineRule="auto"/>
              <w:ind/>
              <w:jc w:val="center"/>
            </w:pPr>
          </w:p>
        </w:tc>
        <w:tc>
          <w:tcPr>
            <w:tcW w:type="dxa" w:w="39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D000000">
            <w:pPr>
              <w:spacing w:after="0" w:line="240" w:lineRule="auto"/>
              <w:ind/>
              <w:jc w:val="right"/>
            </w:pPr>
          </w:p>
        </w:tc>
        <w:tc>
          <w:tcPr>
            <w:tcW w:type="dxa" w:w="369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E000000">
            <w:pPr>
              <w:spacing w:after="0" w:line="240" w:lineRule="auto"/>
              <w:ind/>
            </w:pP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F000000">
            <w:pPr>
              <w:spacing w:after="0" w:line="240" w:lineRule="auto"/>
              <w:ind w:left="57"/>
            </w:pPr>
          </w:p>
        </w:tc>
        <w:tc>
          <w:tcPr>
            <w:tcW w:type="dxa" w:w="1701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30000000">
            <w:pPr>
              <w:spacing w:after="0" w:line="240" w:lineRule="auto"/>
              <w:ind/>
              <w:jc w:val="center"/>
            </w:pPr>
            <w:r>
              <w:t>(подпись</w:t>
            </w:r>
            <w:r>
              <w:t>)</w:t>
            </w:r>
          </w:p>
        </w:tc>
        <w:tc>
          <w:tcPr>
            <w:tcW w:type="dxa" w:w="42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31000000">
            <w:pPr>
              <w:spacing w:after="0" w:line="240" w:lineRule="auto"/>
              <w:ind/>
              <w:jc w:val="center"/>
            </w:pPr>
          </w:p>
        </w:tc>
        <w:tc>
          <w:tcPr>
            <w:tcW w:type="dxa" w:w="3969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32000000">
            <w:pPr>
              <w:spacing w:after="0" w:line="240" w:lineRule="auto"/>
              <w:ind/>
              <w:jc w:val="center"/>
            </w:pPr>
            <w:r>
              <w:t>(расшифровка</w:t>
            </w:r>
            <w:r>
              <w:t xml:space="preserve"> подписи</w:t>
            </w:r>
            <w:r>
              <w:t>)</w:t>
            </w:r>
          </w:p>
        </w:tc>
      </w:tr>
    </w:tbl>
    <w:p w14:paraId="33000000">
      <w:pPr>
        <w:rPr>
          <w:sz w:val="24"/>
        </w:rPr>
      </w:pPr>
    </w:p>
    <w:sectPr>
      <w:pgSz w:h="16838" w:orient="portrait" w:w="11906"/>
      <w:pgMar w:bottom="567" w:footer="397" w:gutter="0" w:header="397" w:left="1134" w:right="851" w:top="851"/>
    </w:sectPr>
  </w:body>
</w:document>
</file>

<file path=word/endnotes.xml><?xml version="1.0" encoding="utf-8"?>
<w:endnot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<w:endnote w:id="-1" w:type="separator">
    <w:p>
      <w:r>
        <w:separator/>
      </w:r>
    </w:p>
  </w:endnote>
  <w:endnote w:id="0" w:type="continuationSeparator">
    <w:p>
      <w:r>
        <w:continuationSeparator/>
      </w:r>
    </w:p>
  </w:endnote>
  <w:endnote w:id="1">
    <w:p w14:paraId="34000000">
      <w:pPr>
        <w:pStyle w:val="Style_8"/>
        <w:ind w:firstLine="567"/>
        <w:jc w:val="both"/>
      </w:pPr>
      <w:r>
        <w:rPr>
          <w:vertAlign w:val="superscript"/>
        </w:rPr>
        <w:endnoteRef/>
      </w:r>
      <w:r>
        <w:t> </w:t>
      </w:r>
      <w:r>
        <w:t>Гражданский</w:t>
      </w:r>
      <w:r>
        <w:t xml:space="preserve"> служащий</w:t>
      </w:r>
      <w:r>
        <w:t>, получивший</w:t>
      </w:r>
      <w:r>
        <w:t xml:space="preserve"> уведомление</w:t>
      </w:r>
      <w:r>
        <w:t xml:space="preserve"> о</w:t>
      </w:r>
      <w:r>
        <w:t xml:space="preserve"> предстоящем</w:t>
      </w:r>
      <w:r>
        <w:t xml:space="preserve"> вручении</w:t>
      </w:r>
      <w:r>
        <w:t xml:space="preserve"> почетного</w:t>
      </w:r>
      <w:r>
        <w:t xml:space="preserve"> или</w:t>
      </w:r>
      <w:r>
        <w:t xml:space="preserve"> специального</w:t>
      </w:r>
      <w:r>
        <w:t xml:space="preserve"> звания</w:t>
      </w:r>
      <w:r>
        <w:t>, награды</w:t>
      </w:r>
      <w:r>
        <w:t xml:space="preserve"> или</w:t>
      </w:r>
      <w:r>
        <w:t xml:space="preserve"> иного</w:t>
      </w:r>
      <w:r>
        <w:t xml:space="preserve"> знака</w:t>
      </w:r>
      <w:r>
        <w:t xml:space="preserve"> отличия</w:t>
      </w:r>
      <w:r>
        <w:t>, заполняет</w:t>
      </w:r>
      <w:r>
        <w:t xml:space="preserve"> ходатайство</w:t>
      </w:r>
      <w:r>
        <w:t xml:space="preserve"> в</w:t>
      </w:r>
      <w:r>
        <w:t xml:space="preserve"> части</w:t>
      </w:r>
      <w:r>
        <w:t>, его</w:t>
      </w:r>
      <w:r>
        <w:t xml:space="preserve"> касающейся.</w:t>
      </w:r>
    </w:p>
  </w:endnote>
</w:endnotes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notes.xml><?xml version="1.0" encoding="utf-8"?>
<w:footnot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footnote w:id="-1" w:type="separator">
    <w:p>
      <w:r>
        <w:separator/>
      </w:r>
    </w:p>
  </w:footnote>
  <w:footnote w:id="0" w:type="continuationSeparator">
    <w:p>
      <w:r>
        <w:continuationSeparator/>
      </w:r>
    </w:p>
  </w:footnote>
</w:footnote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1"/>
      <w:ind w:left="0" w:right="0"/>
      <w:jc w:val="left"/>
    </w:pPr>
    <w:rPr>
      <w:rFonts w:ascii="Times New Roman" w:hAnsi="Times New Roman"/>
      <w:sz w:val="20"/>
    </w:rPr>
  </w:style>
  <w:style w:default="1" w:styleId="Style_3_ch" w:type="character">
    <w:name w:val="Normal"/>
    <w:link w:val="Style_3"/>
    <w:rPr>
      <w:rFonts w:ascii="Times New Roman" w:hAnsi="Times New Roman"/>
      <w:sz w:val="20"/>
    </w:rPr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basedOn w:val="Style_3"/>
    <w:link w:val="Style_8_ch"/>
    <w:pPr>
      <w:ind/>
      <w:jc w:val="left"/>
    </w:pPr>
  </w:style>
  <w:style w:styleId="Style_8_ch" w:type="character">
    <w:name w:val="Endnote"/>
    <w:basedOn w:val="Style_3_ch"/>
    <w:link w:val="Style_8"/>
  </w:style>
  <w:style w:styleId="Style_9" w:type="paragraph">
    <w:name w:val="heading 3"/>
    <w:next w:val="Style_3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footer"/>
    <w:basedOn w:val="Style_3"/>
    <w:link w:val="Style_10_ch"/>
    <w:pPr>
      <w:tabs>
        <w:tab w:leader="none" w:pos="4153" w:val="center"/>
        <w:tab w:leader="none" w:pos="8306" w:val="right"/>
      </w:tabs>
      <w:ind/>
      <w:jc w:val="left"/>
    </w:pPr>
  </w:style>
  <w:style w:styleId="Style_10_ch" w:type="character">
    <w:name w:val="footer"/>
    <w:basedOn w:val="Style_3_ch"/>
    <w:link w:val="Style_10"/>
  </w:style>
  <w:style w:styleId="Style_11" w:type="paragraph">
    <w:name w:val="footnote reference"/>
    <w:basedOn w:val="Style_12"/>
    <w:link w:val="Style_11_ch"/>
    <w:rPr>
      <w:vertAlign w:val="superscript"/>
    </w:rPr>
  </w:style>
  <w:style w:styleId="Style_11_ch" w:type="character">
    <w:name w:val="footnote reference"/>
    <w:basedOn w:val="Style_12_ch"/>
    <w:link w:val="Style_11"/>
    <w:rPr>
      <w:vertAlign w:val="superscript"/>
    </w:rPr>
  </w:style>
  <w:style w:styleId="Style_13" w:type="paragraph">
    <w:name w:val="ConsPlusNormal"/>
    <w:link w:val="Style_13_ch"/>
    <w:pPr>
      <w:widowControl w:val="1"/>
      <w:ind w:left="0" w:right="0"/>
      <w:jc w:val="left"/>
    </w:pPr>
    <w:rPr>
      <w:rFonts w:ascii="Arial" w:hAnsi="Arial"/>
      <w:sz w:val="24"/>
    </w:rPr>
  </w:style>
  <w:style w:styleId="Style_13_ch" w:type="character">
    <w:name w:val="ConsPlusNormal"/>
    <w:link w:val="Style_13"/>
    <w:rPr>
      <w:rFonts w:ascii="Arial" w:hAnsi="Arial"/>
      <w:sz w:val="24"/>
    </w:rPr>
  </w:style>
  <w:style w:styleId="Style_14" w:type="paragraph">
    <w:name w:val="toc 3"/>
    <w:next w:val="Style_3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3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3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basedOn w:val="Style_3"/>
    <w:link w:val="Style_18_ch"/>
    <w:pPr>
      <w:ind/>
      <w:jc w:val="left"/>
    </w:pPr>
  </w:style>
  <w:style w:styleId="Style_18_ch" w:type="character">
    <w:name w:val="Footnote"/>
    <w:basedOn w:val="Style_3_ch"/>
    <w:link w:val="Style_18"/>
  </w:style>
  <w:style w:styleId="Style_19" w:type="paragraph">
    <w:name w:val="toc 1"/>
    <w:next w:val="Style_3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1" w:type="paragraph">
    <w:name w:val="endnote reference"/>
    <w:basedOn w:val="Style_12"/>
    <w:link w:val="Style_1_ch"/>
    <w:rPr>
      <w:vertAlign w:val="superscript"/>
    </w:rPr>
  </w:style>
  <w:style w:styleId="Style_1_ch" w:type="character">
    <w:name w:val="endnote reference"/>
    <w:basedOn w:val="Style_12_ch"/>
    <w:link w:val="Style_1"/>
    <w:rPr>
      <w:vertAlign w:val="superscript"/>
    </w:rPr>
  </w:style>
  <w:style w:styleId="Style_21" w:type="paragraph">
    <w:name w:val="toc 9"/>
    <w:next w:val="Style_3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3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3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ConsPlusNonformat"/>
    <w:link w:val="Style_24_ch"/>
    <w:pPr>
      <w:widowControl w:val="1"/>
      <w:ind w:left="0" w:right="0"/>
      <w:jc w:val="left"/>
    </w:pPr>
    <w:rPr>
      <w:rFonts w:ascii="Courier New" w:hAnsi="Courier New"/>
      <w:sz w:val="20"/>
    </w:rPr>
  </w:style>
  <w:style w:styleId="Style_24_ch" w:type="character">
    <w:name w:val="ConsPlusNonformat"/>
    <w:link w:val="Style_24"/>
    <w:rPr>
      <w:rFonts w:ascii="Courier New" w:hAnsi="Courier New"/>
      <w:sz w:val="20"/>
    </w:rPr>
  </w:style>
  <w:style w:styleId="Style_25" w:type="paragraph">
    <w:name w:val="Subtitle"/>
    <w:next w:val="Style_3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header"/>
    <w:basedOn w:val="Style_3"/>
    <w:link w:val="Style_26_ch"/>
    <w:pPr>
      <w:tabs>
        <w:tab w:leader="none" w:pos="4153" w:val="center"/>
        <w:tab w:leader="none" w:pos="8306" w:val="right"/>
      </w:tabs>
      <w:ind/>
      <w:jc w:val="left"/>
    </w:pPr>
  </w:style>
  <w:style w:styleId="Style_26_ch" w:type="character">
    <w:name w:val="header"/>
    <w:basedOn w:val="Style_3_ch"/>
    <w:link w:val="Style_26"/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27" w:type="paragraph">
    <w:name w:val="Title"/>
    <w:next w:val="Style_3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3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3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2" w:type="table">
    <w:name w:val="Normal Table"/>
    <w:tblPr>
      <w:jc w:val="left"/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8" Target="endnotes.xml" Type="http://schemas.openxmlformats.org/officeDocument/2006/relationships/endnotes"/>
  <Relationship Id="rId4" Target="stylesWithEffects.xml" Type="http://schemas.microsoft.com/office/2007/relationships/stylesWithEffects"/>
  <Relationship Id="rId7" Target="footnotes.xml" Type="http://schemas.openxmlformats.org/officeDocument/2006/relationships/footnote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2025-09-08T05:58:26Z</dcterms:modified>
</cp:coreProperties>
</file>