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2000000">
      <w:pPr>
        <w:spacing w:after="40" w:line="240" w:lineRule="auto"/>
        <w:ind/>
        <w:jc w:val="center"/>
        <w:rPr>
          <w:rFonts w:ascii="Liberation Serif" w:hAnsi="Liberation Serif"/>
          <w:b w:val="1"/>
          <w:sz w:val="28"/>
        </w:rPr>
      </w:pPr>
      <w:r>
        <w:rPr>
          <w:rFonts w:ascii="Liberation Serif" w:hAnsi="Liberation Serif"/>
          <w:b w:val="1"/>
          <w:sz w:val="28"/>
        </w:rPr>
        <w:t>Обзор по</w:t>
      </w:r>
      <w:r>
        <w:rPr>
          <w:rFonts w:ascii="Liberation Serif" w:hAnsi="Liberation Serif"/>
          <w:b w:val="1"/>
          <w:sz w:val="28"/>
        </w:rPr>
        <w:t xml:space="preserve"> по обращениям граждан, </w:t>
      </w:r>
      <w:r>
        <w:rPr>
          <w:rFonts w:ascii="Liberation Serif" w:hAnsi="Liberation Serif"/>
          <w:b w:val="1"/>
          <w:color w:themeColor="text1" w:val="000000"/>
          <w:sz w:val="28"/>
        </w:rPr>
        <w:t xml:space="preserve">поступивших </w:t>
      </w:r>
      <w:r>
        <w:rPr>
          <w:rFonts w:ascii="Liberation Serif" w:hAnsi="Liberation Serif"/>
          <w:b w:val="1"/>
          <w:color w:val="FF0000"/>
          <w:sz w:val="28"/>
        </w:rPr>
        <w:br/>
      </w:r>
      <w:r>
        <w:rPr>
          <w:rFonts w:ascii="Liberation Serif" w:hAnsi="Liberation Serif"/>
          <w:b w:val="1"/>
          <w:sz w:val="28"/>
        </w:rPr>
        <w:t>в</w:t>
      </w:r>
      <w:r>
        <w:rPr>
          <w:rFonts w:ascii="Liberation Serif" w:hAnsi="Liberation Serif"/>
          <w:b w:val="1"/>
          <w:sz w:val="28"/>
        </w:rPr>
        <w:t xml:space="preserve"> </w:t>
      </w:r>
      <w:r>
        <w:rPr>
          <w:rFonts w:ascii="Liberation Serif" w:hAnsi="Liberation Serif"/>
          <w:b w:val="1"/>
          <w:sz w:val="28"/>
        </w:rPr>
        <w:t>Управление</w:t>
      </w:r>
      <w:r>
        <w:rPr>
          <w:rFonts w:ascii="Liberation Serif" w:hAnsi="Liberation Serif"/>
          <w:b w:val="1"/>
          <w:sz w:val="28"/>
        </w:rPr>
        <w:t xml:space="preserve"> социальной политики </w:t>
      </w:r>
      <w:r>
        <w:rPr>
          <w:rFonts w:ascii="Liberation Serif" w:hAnsi="Liberation Serif"/>
          <w:b w:val="1"/>
          <w:sz w:val="28"/>
        </w:rPr>
        <w:t>№ 9</w:t>
      </w:r>
      <w:r>
        <w:rPr>
          <w:rFonts w:ascii="Liberation Serif" w:hAnsi="Liberation Serif"/>
          <w:b w:val="1"/>
          <w:sz w:val="28"/>
        </w:rPr>
        <w:t xml:space="preserve"> </w:t>
      </w:r>
    </w:p>
    <w:p w14:paraId="03000000">
      <w:pPr>
        <w:spacing w:after="40" w:line="240" w:lineRule="auto"/>
        <w:ind/>
        <w:jc w:val="center"/>
        <w:rPr>
          <w:rFonts w:ascii="Liberation Serif" w:hAnsi="Liberation Serif"/>
          <w:b w:val="1"/>
          <w:sz w:val="28"/>
        </w:rPr>
      </w:pPr>
      <w:r>
        <w:rPr>
          <w:rFonts w:ascii="Liberation Serif" w:hAnsi="Liberation Serif"/>
          <w:b w:val="1"/>
          <w:sz w:val="28"/>
        </w:rPr>
        <w:t>в</w:t>
      </w:r>
      <w:r>
        <w:rPr>
          <w:rFonts w:ascii="Liberation Serif" w:hAnsi="Liberation Serif"/>
          <w:b w:val="1"/>
          <w:sz w:val="28"/>
        </w:rPr>
        <w:t>о</w:t>
      </w:r>
      <w:r>
        <w:rPr>
          <w:rFonts w:ascii="Liberation Serif" w:hAnsi="Liberation Serif"/>
          <w:b w:val="1"/>
          <w:sz w:val="28"/>
        </w:rPr>
        <w:t xml:space="preserve"> 2 </w:t>
      </w:r>
      <w:r>
        <w:rPr>
          <w:rFonts w:ascii="Liberation Serif" w:hAnsi="Liberation Serif"/>
          <w:b w:val="1"/>
          <w:sz w:val="28"/>
        </w:rPr>
        <w:t>квартале</w:t>
      </w:r>
      <w:r>
        <w:rPr>
          <w:rFonts w:ascii="Liberation Serif" w:hAnsi="Liberation Serif"/>
          <w:b w:val="1"/>
          <w:sz w:val="28"/>
        </w:rPr>
        <w:t xml:space="preserve"> 20</w:t>
      </w:r>
      <w:r>
        <w:rPr>
          <w:rFonts w:ascii="Liberation Serif" w:hAnsi="Liberation Serif"/>
          <w:b w:val="1"/>
          <w:sz w:val="28"/>
        </w:rPr>
        <w:t>2</w:t>
      </w:r>
      <w:r>
        <w:rPr>
          <w:rFonts w:ascii="Liberation Serif" w:hAnsi="Liberation Serif"/>
          <w:b w:val="1"/>
          <w:sz w:val="28"/>
        </w:rPr>
        <w:t>5</w:t>
      </w:r>
      <w:r>
        <w:rPr>
          <w:rFonts w:ascii="Liberation Serif" w:hAnsi="Liberation Serif"/>
          <w:b w:val="1"/>
          <w:sz w:val="28"/>
        </w:rPr>
        <w:t xml:space="preserve"> года</w:t>
      </w:r>
    </w:p>
    <w:p w14:paraId="04000000">
      <w:pPr>
        <w:spacing w:after="40" w:line="240" w:lineRule="auto"/>
        <w:ind/>
        <w:jc w:val="center"/>
        <w:rPr>
          <w:rFonts w:ascii="Liberation Serif" w:hAnsi="Liberation Serif"/>
          <w:i w:val="1"/>
          <w:sz w:val="28"/>
        </w:rPr>
      </w:pPr>
    </w:p>
    <w:p w14:paraId="05000000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В Управлении работа по рассмотрению обращений граждан строится в соответствии с требованиями Федерального закона от 02 мая 2006 года № 59-ФЗ «О порядке рассмотрения обращений граждан Российской Федерации».</w:t>
      </w:r>
    </w:p>
    <w:p w14:paraId="06000000">
      <w:pPr>
        <w:spacing w:after="0" w:line="240" w:lineRule="auto"/>
        <w:ind w:firstLine="709"/>
        <w:jc w:val="both"/>
        <w:rPr>
          <w:rFonts w:ascii="Liberation Serif" w:hAnsi="Liberation Serif"/>
          <w:color w:val="FF0000"/>
          <w:sz w:val="28"/>
        </w:rPr>
      </w:pP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Во</w:t>
      </w:r>
      <w:r>
        <w:rPr>
          <w:rFonts w:ascii="Liberation Serif" w:hAnsi="Liberation Serif"/>
          <w:sz w:val="28"/>
        </w:rPr>
        <w:t xml:space="preserve"> 2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квартале </w:t>
      </w:r>
      <w:r>
        <w:rPr>
          <w:rFonts w:ascii="Liberation Serif" w:hAnsi="Liberation Serif"/>
          <w:sz w:val="28"/>
        </w:rPr>
        <w:t>20</w:t>
      </w:r>
      <w:r>
        <w:rPr>
          <w:rFonts w:ascii="Liberation Serif" w:hAnsi="Liberation Serif"/>
          <w:sz w:val="28"/>
        </w:rPr>
        <w:t>2</w:t>
      </w:r>
      <w:r>
        <w:rPr>
          <w:rFonts w:ascii="Liberation Serif" w:hAnsi="Liberation Serif"/>
          <w:sz w:val="28"/>
        </w:rPr>
        <w:t>5</w:t>
      </w:r>
      <w:r>
        <w:rPr>
          <w:rFonts w:ascii="Liberation Serif" w:hAnsi="Liberation Serif"/>
          <w:sz w:val="28"/>
        </w:rPr>
        <w:t xml:space="preserve"> год</w:t>
      </w:r>
      <w:r>
        <w:rPr>
          <w:rFonts w:ascii="Liberation Serif" w:hAnsi="Liberation Serif"/>
          <w:sz w:val="28"/>
        </w:rPr>
        <w:t>а</w:t>
      </w:r>
      <w:r>
        <w:rPr>
          <w:rFonts w:ascii="Liberation Serif" w:hAnsi="Liberation Serif"/>
          <w:sz w:val="28"/>
        </w:rPr>
        <w:t xml:space="preserve"> в </w:t>
      </w:r>
      <w:r>
        <w:rPr>
          <w:rFonts w:ascii="Liberation Serif" w:hAnsi="Liberation Serif"/>
          <w:sz w:val="28"/>
        </w:rPr>
        <w:t>Управление</w:t>
      </w:r>
      <w:r>
        <w:rPr>
          <w:rFonts w:ascii="Liberation Serif" w:hAnsi="Liberation Serif"/>
          <w:sz w:val="28"/>
        </w:rPr>
        <w:t xml:space="preserve"> социальной политики </w:t>
      </w:r>
      <w:r>
        <w:rPr>
          <w:rFonts w:ascii="Liberation Serif" w:hAnsi="Liberation Serif"/>
          <w:sz w:val="28"/>
        </w:rPr>
        <w:t>№ 9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(далее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– </w:t>
      </w:r>
      <w:r>
        <w:rPr>
          <w:rFonts w:ascii="Liberation Serif" w:hAnsi="Liberation Serif"/>
          <w:sz w:val="28"/>
        </w:rPr>
        <w:t>Управление</w:t>
      </w:r>
      <w:r>
        <w:rPr>
          <w:rFonts w:ascii="Liberation Serif" w:hAnsi="Liberation Serif"/>
          <w:sz w:val="28"/>
        </w:rPr>
        <w:t>)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поступило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13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обращени</w:t>
      </w:r>
      <w:r>
        <w:rPr>
          <w:rFonts w:ascii="Liberation Serif" w:hAnsi="Liberation Serif"/>
          <w:sz w:val="28"/>
        </w:rPr>
        <w:t>й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граждан</w:t>
      </w:r>
      <w:r>
        <w:rPr>
          <w:rFonts w:ascii="Liberation Serif" w:hAnsi="Liberation Serif"/>
          <w:sz w:val="28"/>
        </w:rPr>
        <w:t>,</w:t>
      </w:r>
      <w:r>
        <w:rPr>
          <w:rFonts w:ascii="Liberation Serif" w:hAnsi="Liberation Serif"/>
          <w:sz w:val="28"/>
        </w:rPr>
        <w:t xml:space="preserve"> включая объединения граждан,</w:t>
      </w:r>
      <w:r>
        <w:rPr>
          <w:rFonts w:ascii="Liberation Serif" w:hAnsi="Liberation Serif"/>
          <w:sz w:val="28"/>
        </w:rPr>
        <w:t xml:space="preserve"> в том числе юридических лиц</w:t>
      </w:r>
      <w:r>
        <w:rPr>
          <w:rFonts w:ascii="Liberation Serif" w:hAnsi="Liberation Serif"/>
          <w:sz w:val="28"/>
        </w:rPr>
        <w:t>.</w:t>
      </w:r>
    </w:p>
    <w:p w14:paraId="07000000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Из </w:t>
      </w:r>
      <w:r>
        <w:rPr>
          <w:rFonts w:ascii="Liberation Serif" w:hAnsi="Liberation Serif"/>
          <w:sz w:val="28"/>
        </w:rPr>
        <w:t>13</w:t>
      </w:r>
      <w:r>
        <w:rPr>
          <w:rFonts w:ascii="Liberation Serif" w:hAnsi="Liberation Serif"/>
          <w:sz w:val="28"/>
        </w:rPr>
        <w:t xml:space="preserve"> поступивших обращений </w:t>
      </w:r>
      <w:r>
        <w:rPr>
          <w:rFonts w:ascii="Liberation Serif" w:hAnsi="Liberation Serif"/>
          <w:sz w:val="28"/>
        </w:rPr>
        <w:t xml:space="preserve">граждан: </w:t>
      </w:r>
      <w:r>
        <w:rPr>
          <w:rFonts w:ascii="Liberation Serif" w:hAnsi="Liberation Serif"/>
          <w:sz w:val="28"/>
        </w:rPr>
        <w:t>12</w:t>
      </w:r>
      <w:r>
        <w:rPr>
          <w:rFonts w:ascii="Liberation Serif" w:hAnsi="Liberation Serif"/>
          <w:sz w:val="28"/>
        </w:rPr>
        <w:t xml:space="preserve"> – с использованием электронной почты и через сайт Единого портала государственных услуг</w:t>
      </w:r>
      <w:r>
        <w:rPr>
          <w:rFonts w:ascii="Liberation Serif" w:hAnsi="Liberation Serif"/>
          <w:sz w:val="28"/>
        </w:rPr>
        <w:t>,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в том числе </w:t>
      </w:r>
      <w:r>
        <w:rPr>
          <w:rFonts w:ascii="Liberation Serif" w:hAnsi="Liberation Serif"/>
          <w:sz w:val="28"/>
        </w:rPr>
        <w:t>0</w:t>
      </w:r>
      <w:r>
        <w:rPr>
          <w:rFonts w:ascii="Liberation Serif" w:hAnsi="Liberation Serif"/>
          <w:sz w:val="28"/>
        </w:rPr>
        <w:t xml:space="preserve"> –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в электронном виде через систему досудебное обжалование</w:t>
      </w:r>
      <w:r>
        <w:rPr>
          <w:rFonts w:ascii="Liberation Serif" w:hAnsi="Liberation Serif"/>
          <w:sz w:val="28"/>
        </w:rPr>
        <w:t xml:space="preserve"> и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1 -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поступивших</w:t>
      </w:r>
      <w:r>
        <w:rPr>
          <w:rFonts w:ascii="Liberation Serif" w:hAnsi="Liberation Serif"/>
          <w:sz w:val="28"/>
        </w:rPr>
        <w:t xml:space="preserve"> через официальный сайт </w:t>
      </w:r>
      <w:r>
        <w:rPr>
          <w:rFonts w:ascii="Liberation Serif" w:hAnsi="Liberation Serif"/>
          <w:sz w:val="28"/>
        </w:rPr>
        <w:t>Управления</w:t>
      </w:r>
      <w:r>
        <w:rPr>
          <w:rFonts w:ascii="Liberation Serif" w:hAnsi="Liberation Serif"/>
          <w:sz w:val="28"/>
        </w:rPr>
        <w:t xml:space="preserve"> (</w:t>
      </w:r>
      <w:r>
        <w:rPr>
          <w:rFonts w:ascii="Liberation Serif" w:hAnsi="Liberation Serif"/>
          <w:sz w:val="28"/>
        </w:rPr>
        <w:t>https://tusp09.msp.midural.ru/</w:t>
      </w:r>
      <w:r>
        <w:rPr>
          <w:rFonts w:ascii="Liberation Serif" w:hAnsi="Liberation Serif"/>
          <w:sz w:val="28"/>
        </w:rPr>
        <w:t xml:space="preserve">) </w:t>
      </w:r>
      <w:r>
        <w:rPr>
          <w:rFonts w:ascii="Liberation Serif" w:hAnsi="Liberation Serif"/>
          <w:sz w:val="28"/>
        </w:rPr>
        <w:t xml:space="preserve">посредством интерактивной страницы </w:t>
      </w:r>
      <w:r>
        <w:rPr>
          <w:rFonts w:ascii="Liberation Serif" w:hAnsi="Liberation Serif"/>
          <w:sz w:val="28"/>
        </w:rPr>
        <w:t>«Электронная приемная»</w:t>
      </w:r>
      <w:r>
        <w:rPr>
          <w:rFonts w:ascii="Liberation Serif" w:hAnsi="Liberation Serif"/>
          <w:sz w:val="28"/>
        </w:rPr>
        <w:t xml:space="preserve">. </w:t>
      </w:r>
    </w:p>
    <w:p w14:paraId="08000000">
      <w:pPr>
        <w:spacing w:after="0" w:line="240" w:lineRule="auto"/>
        <w:ind/>
        <w:jc w:val="center"/>
        <w:rPr>
          <w:rFonts w:ascii="Liberation Serif" w:hAnsi="Liberation Serif"/>
          <w:sz w:val="28"/>
        </w:rPr>
      </w:pPr>
    </w:p>
    <w:p w14:paraId="09000000">
      <w:pPr>
        <w:spacing w:after="24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По территориальной принадлежности</w:t>
      </w:r>
      <w:r>
        <w:rPr>
          <w:rFonts w:ascii="Liberation Serif" w:hAnsi="Liberation Serif"/>
          <w:sz w:val="28"/>
        </w:rPr>
        <w:t xml:space="preserve"> (Талицкий муниципальный округ и</w:t>
      </w:r>
      <w:r>
        <w:rPr>
          <w:rFonts w:ascii="Liberation Serif" w:hAnsi="Liberation Serif"/>
          <w:sz w:val="28"/>
        </w:rPr>
        <w:t xml:space="preserve"> Тугулымский муниципальный округ</w:t>
      </w:r>
      <w:r>
        <w:rPr>
          <w:rFonts w:ascii="Liberation Serif" w:hAnsi="Liberation Serif"/>
          <w:sz w:val="28"/>
        </w:rPr>
        <w:t>)</w:t>
      </w:r>
      <w:r>
        <w:rPr>
          <w:rFonts w:ascii="Liberation Serif" w:hAnsi="Liberation Serif"/>
          <w:sz w:val="28"/>
        </w:rPr>
        <w:t xml:space="preserve"> наибольшее количество обращений поступило из </w:t>
      </w:r>
      <w:r>
        <w:rPr>
          <w:rFonts w:ascii="Liberation Serif" w:hAnsi="Liberation Serif"/>
          <w:sz w:val="28"/>
        </w:rPr>
        <w:t>Т</w:t>
      </w:r>
      <w:r>
        <w:rPr>
          <w:rFonts w:ascii="Liberation Serif" w:hAnsi="Liberation Serif"/>
          <w:sz w:val="28"/>
        </w:rPr>
        <w:t>алицкого</w:t>
      </w:r>
      <w:r>
        <w:rPr>
          <w:rFonts w:ascii="Liberation Serif" w:hAnsi="Liberation Serif"/>
          <w:sz w:val="28"/>
        </w:rPr>
        <w:t xml:space="preserve"> муниципального округа</w:t>
      </w:r>
      <w:r>
        <w:rPr>
          <w:rFonts w:ascii="Liberation Serif" w:hAnsi="Liberation Serif"/>
          <w:sz w:val="28"/>
        </w:rPr>
        <w:t xml:space="preserve"> Свердловской области, реже в </w:t>
      </w:r>
      <w:r>
        <w:rPr>
          <w:rFonts w:ascii="Liberation Serif" w:hAnsi="Liberation Serif"/>
          <w:sz w:val="28"/>
        </w:rPr>
        <w:t xml:space="preserve">Управление </w:t>
      </w:r>
      <w:r>
        <w:rPr>
          <w:rFonts w:ascii="Liberation Serif" w:hAnsi="Liberation Serif"/>
          <w:sz w:val="28"/>
        </w:rPr>
        <w:t xml:space="preserve"> обращались жители, проживающие в</w:t>
      </w:r>
      <w:r>
        <w:rPr>
          <w:rFonts w:ascii="Liberation Serif" w:hAnsi="Liberation Serif"/>
          <w:sz w:val="28"/>
        </w:rPr>
        <w:t> </w:t>
      </w:r>
      <w:r>
        <w:rPr>
          <w:rFonts w:ascii="Liberation Serif" w:hAnsi="Liberation Serif"/>
          <w:sz w:val="28"/>
        </w:rPr>
        <w:t>Т</w:t>
      </w:r>
      <w:r>
        <w:rPr>
          <w:rFonts w:ascii="Liberation Serif" w:hAnsi="Liberation Serif"/>
          <w:sz w:val="28"/>
        </w:rPr>
        <w:t>угулымском</w:t>
      </w:r>
      <w:r>
        <w:rPr>
          <w:rFonts w:ascii="Liberation Serif" w:hAnsi="Liberation Serif"/>
          <w:sz w:val="28"/>
        </w:rPr>
        <w:t xml:space="preserve"> муниципальном округе</w:t>
      </w:r>
      <w:r>
        <w:rPr>
          <w:rFonts w:ascii="Liberation Serif" w:hAnsi="Liberation Serif"/>
          <w:sz w:val="28"/>
        </w:rPr>
        <w:t>.</w:t>
      </w:r>
      <w:r>
        <w:rPr>
          <w:rFonts w:ascii="Liberation Serif" w:hAnsi="Liberation Serif"/>
          <w:sz w:val="28"/>
        </w:rPr>
        <w:t xml:space="preserve"> </w:t>
      </w:r>
    </w:p>
    <w:p w14:paraId="0A000000">
      <w:pPr>
        <w:spacing w:after="0" w:line="240" w:lineRule="auto"/>
        <w:ind/>
        <w:jc w:val="center"/>
        <w:rPr>
          <w:rFonts w:ascii="Liberation Serif" w:hAnsi="Liberation Serif"/>
          <w:b w:val="1"/>
          <w:color w:themeColor="text1" w:val="000000"/>
          <w:sz w:val="28"/>
        </w:rPr>
      </w:pPr>
      <w:r>
        <w:rPr>
          <w:rFonts w:ascii="Liberation Serif" w:hAnsi="Liberation Serif"/>
          <w:b w:val="1"/>
          <w:color w:themeColor="text1" w:val="000000"/>
          <w:sz w:val="28"/>
        </w:rPr>
        <w:t>Рейтинговый анализ тематики обращений</w:t>
      </w:r>
    </w:p>
    <w:p w14:paraId="0B000000">
      <w:pPr>
        <w:spacing w:after="0" w:line="240" w:lineRule="auto"/>
        <w:ind w:firstLine="851"/>
        <w:jc w:val="center"/>
        <w:rPr>
          <w:rFonts w:ascii="Liberation Serif" w:hAnsi="Liberation Serif"/>
          <w:b w:val="1"/>
          <w:color w:themeColor="text1" w:val="000000"/>
          <w:sz w:val="14"/>
        </w:rPr>
      </w:pPr>
    </w:p>
    <w:p w14:paraId="0C000000">
      <w:pPr>
        <w:tabs>
          <w:tab w:leader="none" w:pos="8080" w:val="left"/>
        </w:tabs>
        <w:spacing w:after="0" w:line="240" w:lineRule="auto"/>
        <w:ind w:firstLine="709"/>
        <w:jc w:val="both"/>
        <w:rPr>
          <w:rFonts w:ascii="Liberation Serif" w:hAnsi="Liberation Serif"/>
          <w:color w:themeColor="text1" w:val="000000"/>
          <w:sz w:val="28"/>
        </w:rPr>
      </w:pPr>
      <w:r>
        <w:rPr>
          <w:rFonts w:ascii="Liberation Serif" w:hAnsi="Liberation Serif"/>
          <w:color w:themeColor="text1" w:val="000000"/>
          <w:sz w:val="28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14:paraId="0D000000">
      <w:pPr>
        <w:tabs>
          <w:tab w:leader="none" w:pos="8080" w:val="left"/>
        </w:tabs>
        <w:spacing w:after="0" w:line="240" w:lineRule="auto"/>
        <w:ind w:firstLine="709"/>
        <w:jc w:val="both"/>
        <w:rPr>
          <w:rFonts w:ascii="Liberation Serif" w:hAnsi="Liberation Serif"/>
          <w:color w:themeColor="text1" w:val="000000"/>
          <w:sz w:val="28"/>
        </w:rPr>
      </w:pPr>
      <w:r>
        <w:rPr>
          <w:rFonts w:ascii="Liberation Serif" w:hAnsi="Liberation Serif"/>
          <w:sz w:val="28"/>
        </w:rPr>
        <w:t>В</w:t>
      </w:r>
      <w:r>
        <w:rPr>
          <w:rFonts w:ascii="Liberation Serif" w:hAnsi="Liberation Serif"/>
          <w:sz w:val="28"/>
        </w:rPr>
        <w:t>о</w:t>
      </w:r>
      <w:r>
        <w:rPr>
          <w:rFonts w:ascii="Liberation Serif" w:hAnsi="Liberation Serif"/>
          <w:sz w:val="28"/>
        </w:rPr>
        <w:t xml:space="preserve"> 2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квартале 20</w:t>
      </w:r>
      <w:r>
        <w:rPr>
          <w:rFonts w:ascii="Liberation Serif" w:hAnsi="Liberation Serif"/>
          <w:sz w:val="28"/>
        </w:rPr>
        <w:t>2</w:t>
      </w:r>
      <w:r>
        <w:rPr>
          <w:rFonts w:ascii="Liberation Serif" w:hAnsi="Liberation Serif"/>
          <w:sz w:val="28"/>
        </w:rPr>
        <w:t>5</w:t>
      </w:r>
      <w:r>
        <w:rPr>
          <w:rFonts w:ascii="Liberation Serif" w:hAnsi="Liberation Serif"/>
          <w:sz w:val="28"/>
        </w:rPr>
        <w:t xml:space="preserve"> года </w:t>
      </w:r>
      <w:r>
        <w:rPr>
          <w:rFonts w:ascii="Liberation Serif" w:hAnsi="Liberation Serif"/>
          <w:sz w:val="28"/>
        </w:rPr>
        <w:t>у</w:t>
      </w:r>
      <w:r>
        <w:rPr>
          <w:rFonts w:ascii="Liberation Serif" w:hAnsi="Liberation Serif"/>
          <w:sz w:val="28"/>
        </w:rPr>
        <w:t>меньшилось количест</w:t>
      </w:r>
      <w:r>
        <w:rPr>
          <w:rFonts w:ascii="Liberation Serif" w:hAnsi="Liberation Serif"/>
          <w:sz w:val="28"/>
        </w:rPr>
        <w:t>во обращений граждан по вопросу предоставления мер социальной поддержки семьям с детьми</w:t>
      </w:r>
      <w:r>
        <w:rPr>
          <w:rFonts w:ascii="Liberation Serif" w:hAnsi="Liberation Serif"/>
          <w:sz w:val="28"/>
        </w:rPr>
        <w:t>.</w:t>
      </w:r>
    </w:p>
    <w:p w14:paraId="0E000000">
      <w:pPr>
        <w:tabs>
          <w:tab w:leader="none" w:pos="8080" w:val="left"/>
        </w:tabs>
        <w:spacing w:after="0" w:line="240" w:lineRule="auto"/>
        <w:ind w:firstLine="709"/>
        <w:jc w:val="both"/>
        <w:rPr>
          <w:rFonts w:ascii="Liberation Serif" w:hAnsi="Liberation Serif"/>
          <w:color w:themeColor="text1" w:val="000000"/>
          <w:sz w:val="28"/>
        </w:rPr>
      </w:pPr>
      <w:r>
        <w:rPr>
          <w:rFonts w:ascii="Liberation Serif" w:hAnsi="Liberation Serif"/>
          <w:color w:themeColor="text1" w:val="000000"/>
          <w:sz w:val="28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</w:t>
      </w:r>
      <w:r>
        <w:rPr>
          <w:rFonts w:ascii="Liberation Serif" w:hAnsi="Liberation Serif"/>
          <w:color w:themeColor="text1" w:val="000000"/>
          <w:sz w:val="28"/>
        </w:rPr>
        <w:t xml:space="preserve"> </w:t>
      </w:r>
      <w:r>
        <w:rPr>
          <w:rFonts w:ascii="Liberation Serif" w:hAnsi="Liberation Serif"/>
          <w:color w:themeColor="text1" w:val="000000"/>
          <w:sz w:val="28"/>
        </w:rPr>
        <w:t>обеспечения жиль</w:t>
      </w:r>
      <w:r>
        <w:rPr>
          <w:rFonts w:ascii="Liberation Serif" w:hAnsi="Liberation Serif"/>
          <w:color w:themeColor="text1" w:val="000000"/>
          <w:sz w:val="28"/>
        </w:rPr>
        <w:t>е</w:t>
      </w:r>
      <w:r>
        <w:rPr>
          <w:rFonts w:ascii="Liberation Serif" w:hAnsi="Liberation Serif"/>
          <w:color w:themeColor="text1" w:val="000000"/>
          <w:sz w:val="28"/>
        </w:rPr>
        <w:t xml:space="preserve">м отдельных категорий граждан, </w:t>
      </w:r>
      <w:r>
        <w:rPr>
          <w:rFonts w:ascii="Liberation Serif" w:hAnsi="Liberation Serif"/>
          <w:color w:themeColor="text1" w:val="000000"/>
          <w:sz w:val="28"/>
        </w:rPr>
        <w:t>выплаты пособий гражданам, имеющим детей</w:t>
      </w:r>
      <w:r>
        <w:rPr>
          <w:rFonts w:ascii="Liberation Serif" w:hAnsi="Liberation Serif"/>
          <w:color w:themeColor="text1" w:val="000000"/>
          <w:sz w:val="28"/>
        </w:rPr>
        <w:t>,</w:t>
      </w:r>
      <w:r>
        <w:rPr>
          <w:rFonts w:ascii="Liberation Serif" w:hAnsi="Liberation Serif"/>
          <w:color w:themeColor="text1" w:val="000000"/>
          <w:sz w:val="28"/>
        </w:rPr>
        <w:t xml:space="preserve"> </w:t>
      </w:r>
      <w:r>
        <w:rPr>
          <w:rFonts w:ascii="Liberation Serif" w:hAnsi="Liberation Serif"/>
          <w:color w:themeColor="text1" w:val="000000"/>
          <w:sz w:val="28"/>
        </w:rPr>
        <w:t>и разъяснения</w:t>
      </w:r>
      <w:r>
        <w:rPr>
          <w:rFonts w:ascii="Liberation Serif" w:hAnsi="Liberation Serif"/>
          <w:color w:themeColor="text1" w:val="000000"/>
          <w:sz w:val="28"/>
        </w:rPr>
        <w:t xml:space="preserve"> права на</w:t>
      </w:r>
      <w:r>
        <w:rPr>
          <w:rFonts w:ascii="Liberation Serif" w:hAnsi="Liberation Serif"/>
          <w:color w:themeColor="text1" w:val="000000"/>
          <w:sz w:val="28"/>
        </w:rPr>
        <w:t> </w:t>
      </w:r>
      <w:r>
        <w:rPr>
          <w:rFonts w:ascii="Liberation Serif" w:hAnsi="Liberation Serif"/>
          <w:color w:themeColor="text1" w:val="000000"/>
          <w:sz w:val="28"/>
        </w:rPr>
        <w:t>получение мер социальной поддержки</w:t>
      </w:r>
      <w:r>
        <w:rPr>
          <w:rFonts w:ascii="Liberation Serif" w:hAnsi="Liberation Serif"/>
          <w:color w:themeColor="text1" w:val="000000"/>
          <w:sz w:val="28"/>
        </w:rPr>
        <w:t>, по выплатам СВО.</w:t>
      </w:r>
    </w:p>
    <w:p w14:paraId="0F000000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За отчетный период в </w:t>
      </w:r>
      <w:r>
        <w:rPr>
          <w:rFonts w:ascii="Liberation Serif" w:hAnsi="Liberation Serif"/>
          <w:sz w:val="28"/>
        </w:rPr>
        <w:t>Управление</w:t>
      </w:r>
      <w:r>
        <w:rPr>
          <w:rFonts w:ascii="Liberation Serif" w:hAnsi="Liberation Serif"/>
          <w:sz w:val="28"/>
        </w:rPr>
        <w:t xml:space="preserve"> социальной политики </w:t>
      </w:r>
      <w:r>
        <w:rPr>
          <w:rFonts w:ascii="Liberation Serif" w:hAnsi="Liberation Serif"/>
          <w:sz w:val="28"/>
        </w:rPr>
        <w:t>№ 9</w:t>
      </w:r>
      <w:r>
        <w:rPr>
          <w:rFonts w:ascii="Liberation Serif" w:hAnsi="Liberation Serif"/>
          <w:sz w:val="28"/>
        </w:rPr>
        <w:t xml:space="preserve"> жалоб и обращений граждан и организаций о фактах совершения коррупционных правонарушений не поступало.</w:t>
      </w:r>
    </w:p>
    <w:p w14:paraId="10000000">
      <w:pPr>
        <w:keepNext w:val="1"/>
        <w:tabs>
          <w:tab w:leader="none" w:pos="708" w:val="left"/>
        </w:tabs>
        <w:spacing w:after="0" w:line="360" w:lineRule="auto"/>
        <w:ind w:firstLine="567"/>
        <w:jc w:val="right"/>
        <w:outlineLvl w:val="5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Таблица 1</w:t>
      </w:r>
    </w:p>
    <w:tbl>
      <w:tblPr>
        <w:tblStyle w:val="Style_2"/>
        <w:tblW w:type="auto" w:w="0"/>
        <w:tblInd w:type="dxa" w:w="118"/>
        <w:tblLayout w:type="fixed"/>
        <w:tblCellMar>
          <w:left w:type="dxa" w:w="113"/>
        </w:tblCellMar>
      </w:tblPr>
      <w:tblGrid>
        <w:gridCol w:w="6018"/>
        <w:gridCol w:w="657"/>
        <w:gridCol w:w="730"/>
        <w:gridCol w:w="731"/>
        <w:gridCol w:w="648"/>
        <w:gridCol w:w="1242"/>
        <w:gridCol w:w="34"/>
      </w:tblGrid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1000000">
            <w:pPr>
              <w:pStyle w:val="Style_3"/>
              <w:numPr>
                <w:ilvl w:val="0"/>
                <w:numId w:val="1"/>
              </w:numPr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Всего поступило жалоб, писем и заявлений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2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 кв.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3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 кв.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4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3 кв.</w:t>
            </w: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5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4 кв.</w:t>
            </w:r>
          </w:p>
        </w:tc>
        <w:tc>
          <w:tcPr>
            <w:tcW w:type="dxa" w:w="12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16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За</w:t>
            </w:r>
          </w:p>
          <w:p w14:paraId="17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202</w:t>
            </w:r>
            <w:r>
              <w:rPr>
                <w:rFonts w:ascii="Liberation Serif" w:hAnsi="Liberation Serif"/>
                <w:sz w:val="18"/>
              </w:rPr>
              <w:t>5</w:t>
            </w:r>
            <w:r>
              <w:rPr>
                <w:rFonts w:ascii="Liberation Serif" w:hAnsi="Liberation Serif"/>
                <w:sz w:val="18"/>
              </w:rPr>
              <w:t xml:space="preserve"> год</w:t>
            </w:r>
          </w:p>
        </w:tc>
        <w:tc>
          <w:tcPr>
            <w:tcW w:type="dxa" w:w="34"/>
            <w:tcMar>
              <w:left w:type="dxa" w:w="113"/>
            </w:tcMar>
          </w:tcPr>
          <w:p/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8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Вопросы для совместного рассмотрения  отделами Управления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9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A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B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C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1D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E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опеки и попечительства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F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0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1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2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23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rPr>
          <w:trHeight w:hRule="atLeast" w:val="491"/>
        </w:trP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4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Отдел семейной политики, </w:t>
            </w:r>
            <w:r>
              <w:rPr>
                <w:rFonts w:ascii="Liberation Serif" w:hAnsi="Liberation Serif"/>
                <w:sz w:val="18"/>
              </w:rPr>
              <w:t>социальных гарантий и организации социального обслуживания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5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5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6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3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7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8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29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A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обеспечения мер социальной поддержки</w:t>
            </w:r>
            <w:r>
              <w:rPr>
                <w:rFonts w:ascii="Liberation Serif" w:hAnsi="Liberation Serif"/>
                <w:sz w:val="18"/>
              </w:rPr>
              <w:t>.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B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12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C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9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D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E000000">
            <w:pPr>
              <w:tabs>
                <w:tab w:leader="none" w:pos="246" w:val="center"/>
              </w:tabs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2F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30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Должностные лица Управления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31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32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33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34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35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rPr>
          <w:trHeight w:hRule="atLeast" w:val="233"/>
        </w:trP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36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 w:val="1"/>
                <w:sz w:val="18"/>
              </w:rPr>
              <w:t>Всего: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37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 w:val="1"/>
                <w:sz w:val="18"/>
              </w:rPr>
              <w:t>1</w:t>
            </w:r>
            <w:r>
              <w:rPr>
                <w:rFonts w:ascii="Liberation Serif" w:hAnsi="Liberation Serif"/>
                <w:b w:val="1"/>
                <w:sz w:val="18"/>
              </w:rPr>
              <w:t>8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38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  <w:r>
              <w:rPr>
                <w:rFonts w:ascii="Liberation Serif" w:hAnsi="Liberation Serif"/>
                <w:b w:val="1"/>
                <w:sz w:val="18"/>
              </w:rPr>
              <w:t>13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39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3A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3B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</w:p>
        </w:tc>
      </w:tr>
      <w:tr>
        <w:tc>
          <w:tcPr>
            <w:tcW w:type="dxa" w:w="10060"/>
            <w:gridSpan w:val="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3C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 w:val="1"/>
                <w:sz w:val="18"/>
              </w:rPr>
              <w:t>Обращения, заявления, жалобы, письма поступили из:</w:t>
            </w: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3D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МСП СО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3E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3F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5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40000000">
            <w:pPr>
              <w:tabs>
                <w:tab w:leader="none" w:pos="252" w:val="center"/>
              </w:tabs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41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42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43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Личные заявления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44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45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46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47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48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49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Госуслуги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4A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6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4B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8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4C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4D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4E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4F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Прокуратура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50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51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52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53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54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55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Администрация 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56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57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58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59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5A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5B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Уполномоченный по правам человека 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5C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5D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5E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5F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60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61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Уполномоченный по правам ребенка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62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63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64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65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66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67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Иные организации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68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69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6A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6B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6C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6D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 w:val="1"/>
                <w:sz w:val="18"/>
              </w:rPr>
              <w:t>Всего: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6E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 w:val="1"/>
                <w:sz w:val="18"/>
              </w:rPr>
              <w:t>1</w:t>
            </w:r>
            <w:r>
              <w:rPr>
                <w:rFonts w:ascii="Liberation Serif" w:hAnsi="Liberation Serif"/>
                <w:b w:val="1"/>
                <w:sz w:val="18"/>
              </w:rPr>
              <w:t>8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6F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  <w:r>
              <w:rPr>
                <w:rFonts w:ascii="Liberation Serif" w:hAnsi="Liberation Serif"/>
                <w:b w:val="1"/>
                <w:sz w:val="18"/>
              </w:rPr>
              <w:t>13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70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71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72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</w:p>
        </w:tc>
      </w:tr>
      <w:tr>
        <w:tc>
          <w:tcPr>
            <w:tcW w:type="dxa" w:w="10060"/>
            <w:gridSpan w:val="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73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 w:val="1"/>
                <w:sz w:val="18"/>
              </w:rPr>
              <w:t>Повторно поступили:</w:t>
            </w: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74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опеки и попечительства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75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76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77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78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79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7A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7B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7C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7D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7E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7F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80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обеспечения мер социальной поддержки, учета и отчетности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81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82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83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84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85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86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Вопросы совместного рассмотрения  отделами Управления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87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88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89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8A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8B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8C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 w:val="1"/>
                <w:sz w:val="18"/>
              </w:rPr>
              <w:t>Всего: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8D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 w:val="1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8E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  <w:r>
              <w:rPr>
                <w:rFonts w:ascii="Liberation Serif" w:hAnsi="Liberation Serif"/>
                <w:b w:val="1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8F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90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91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</w:p>
        </w:tc>
      </w:tr>
      <w:tr>
        <w:trPr>
          <w:trHeight w:hRule="atLeast" w:val="184"/>
        </w:trPr>
        <w:tc>
          <w:tcPr>
            <w:tcW w:type="dxa" w:w="10060"/>
            <w:gridSpan w:val="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92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 w:val="1"/>
                <w:sz w:val="18"/>
              </w:rPr>
              <w:t>Категории обратившихся</w:t>
            </w: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93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Коллективное обращение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94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95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96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97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98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99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Пенсионеры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9A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9B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9C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9D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9E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9F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Малоимущие граждане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A0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A1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A2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A3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A4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A5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Инвалиды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A6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A7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A8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A9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AA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AB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Сельские работники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AC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AD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AE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AF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B0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B1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Граждане, имеющие детей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B2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9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B3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9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B4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B5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B6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B7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Ветераны труда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B8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B9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BA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BB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BC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BD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bookmarkStart w:id="1" w:name="__DdeLink__9889_4284348272"/>
            <w:r>
              <w:rPr>
                <w:rFonts w:ascii="Liberation Serif" w:hAnsi="Liberation Serif"/>
                <w:sz w:val="18"/>
              </w:rPr>
              <w:t>Лица из числа детей-сирот и ОБПР</w:t>
            </w:r>
            <w:bookmarkEnd w:id="1"/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BE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BF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C0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C1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C2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C3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Опекун (приемный родитель)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C4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C5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C6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C7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C8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C9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Граждане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CA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CB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CC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CD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CE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CF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Многодетные 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D0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4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D1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D2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D3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D4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D5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Ветеран боевых действий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D6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D7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D8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D9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DA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DB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Инвалид ВОВ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DC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DD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DE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DF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E0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E1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Труженик тыла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E2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E3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E4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E5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E6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E7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Члены семей погибших (умерших) 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E8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E9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EA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EB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EC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ED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Студенты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EE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EF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F0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F1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F2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F3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 w:val="1"/>
                <w:sz w:val="18"/>
              </w:rPr>
              <w:t>Всего: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F4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 w:val="1"/>
                <w:sz w:val="18"/>
              </w:rPr>
              <w:t>1</w:t>
            </w:r>
            <w:r>
              <w:rPr>
                <w:rFonts w:ascii="Liberation Serif" w:hAnsi="Liberation Serif"/>
                <w:b w:val="1"/>
                <w:sz w:val="18"/>
              </w:rPr>
              <w:t>8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F5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  <w:r>
              <w:rPr>
                <w:rFonts w:ascii="Liberation Serif" w:hAnsi="Liberation Serif"/>
                <w:b w:val="1"/>
                <w:sz w:val="18"/>
              </w:rPr>
              <w:t>13</w:t>
            </w: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F6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F7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F8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</w:p>
        </w:tc>
      </w:tr>
      <w:tr>
        <w:trPr>
          <w:trHeight w:hRule="atLeast" w:val="228"/>
        </w:trPr>
        <w:tc>
          <w:tcPr>
            <w:tcW w:type="dxa" w:w="10060"/>
            <w:gridSpan w:val="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F9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 w:val="1"/>
                <w:sz w:val="18"/>
              </w:rPr>
              <w:t>Итоги рассмотрения обращений</w:t>
            </w: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FA00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Разъяснено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FB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FC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FD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FE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FF00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0001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Информация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01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</w:t>
            </w:r>
            <w:r>
              <w:rPr>
                <w:rFonts w:ascii="Liberation Serif" w:hAnsi="Liberation Serif"/>
                <w:sz w:val="18"/>
              </w:rPr>
              <w:t>8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02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03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04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05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0601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Обоснованное обращение 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07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08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09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0A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0B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0C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 w:val="1"/>
                <w:sz w:val="18"/>
              </w:rPr>
              <w:t>Всего: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0D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 w:val="1"/>
                <w:sz w:val="18"/>
              </w:rPr>
              <w:t>1</w:t>
            </w:r>
            <w:r>
              <w:rPr>
                <w:rFonts w:ascii="Liberation Serif" w:hAnsi="Liberation Serif"/>
                <w:b w:val="1"/>
                <w:sz w:val="18"/>
              </w:rPr>
              <w:t>8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0E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0F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0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11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</w:p>
        </w:tc>
      </w:tr>
      <w:tr>
        <w:tc>
          <w:tcPr>
            <w:tcW w:type="dxa" w:w="10060"/>
            <w:gridSpan w:val="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12010000">
            <w:pPr>
              <w:pStyle w:val="Style_3"/>
              <w:numPr>
                <w:ilvl w:val="0"/>
                <w:numId w:val="1"/>
              </w:numPr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Сроки рассмотрения обращений</w:t>
            </w: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301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До 5 календарных дней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4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</w:t>
            </w: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5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6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7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18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901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До 10 календарных дней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A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8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B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C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D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1E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1F01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До 15 календарных дней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0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1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2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3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24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501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До 20 календарных дней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6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7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8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9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2A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B010000">
            <w:pPr>
              <w:spacing w:line="240" w:lineRule="auto"/>
              <w:ind/>
              <w:contextualSpacing w:val="1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 20 календарных дней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C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D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E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2F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30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>
        <w:tc>
          <w:tcPr>
            <w:tcW w:type="dxa" w:w="601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31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 w:val="1"/>
                <w:sz w:val="18"/>
              </w:rPr>
              <w:t>Всего:</w:t>
            </w:r>
          </w:p>
        </w:tc>
        <w:tc>
          <w:tcPr>
            <w:tcW w:type="dxa" w:w="65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32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 w:val="1"/>
                <w:sz w:val="18"/>
              </w:rPr>
              <w:t>1</w:t>
            </w:r>
            <w:r>
              <w:rPr>
                <w:rFonts w:ascii="Liberation Serif" w:hAnsi="Liberation Serif"/>
                <w:b w:val="1"/>
                <w:sz w:val="18"/>
              </w:rPr>
              <w:t>8</w:t>
            </w:r>
          </w:p>
        </w:tc>
        <w:tc>
          <w:tcPr>
            <w:tcW w:type="dxa" w:w="73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33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</w:p>
        </w:tc>
        <w:tc>
          <w:tcPr>
            <w:tcW w:type="dxa" w:w="73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34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</w:p>
        </w:tc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left w:type="dxa" w:w="113"/>
            </w:tcMar>
          </w:tcPr>
          <w:p w14:paraId="35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113"/>
            </w:tcMar>
          </w:tcPr>
          <w:p w14:paraId="36010000">
            <w:pPr>
              <w:spacing w:line="240" w:lineRule="auto"/>
              <w:ind/>
              <w:contextualSpacing w:val="1"/>
              <w:jc w:val="center"/>
              <w:rPr>
                <w:rFonts w:ascii="Liberation Serif" w:hAnsi="Liberation Serif"/>
                <w:b w:val="1"/>
                <w:sz w:val="18"/>
              </w:rPr>
            </w:pPr>
          </w:p>
        </w:tc>
      </w:tr>
    </w:tbl>
    <w:p w14:paraId="37010000">
      <w:pPr>
        <w:tabs>
          <w:tab w:leader="none" w:pos="8080" w:val="left"/>
        </w:tabs>
        <w:spacing w:after="0" w:line="240" w:lineRule="auto"/>
        <w:ind/>
        <w:jc w:val="center"/>
        <w:rPr>
          <w:rFonts w:ascii="Liberation Serif" w:hAnsi="Liberation Serif"/>
          <w:b w:val="1"/>
          <w:sz w:val="28"/>
        </w:rPr>
      </w:pPr>
    </w:p>
    <w:p w14:paraId="38010000">
      <w:pPr>
        <w:tabs>
          <w:tab w:leader="none" w:pos="8080" w:val="left"/>
        </w:tabs>
        <w:spacing w:after="0" w:line="240" w:lineRule="auto"/>
        <w:ind/>
        <w:jc w:val="center"/>
        <w:rPr>
          <w:rFonts w:ascii="Liberation Serif" w:hAnsi="Liberation Serif"/>
          <w:b w:val="1"/>
          <w:sz w:val="28"/>
        </w:rPr>
      </w:pPr>
      <w:r>
        <w:rPr>
          <w:rFonts w:ascii="Liberation Serif" w:hAnsi="Liberation Serif"/>
          <w:b w:val="1"/>
          <w:sz w:val="28"/>
        </w:rPr>
        <w:t>Работа с устными обращениями граждан</w:t>
      </w:r>
    </w:p>
    <w:p w14:paraId="39010000">
      <w:pPr>
        <w:tabs>
          <w:tab w:leader="none" w:pos="8080" w:val="left"/>
        </w:tabs>
        <w:spacing w:after="0" w:line="240" w:lineRule="auto"/>
        <w:ind w:firstLine="709"/>
        <w:jc w:val="center"/>
        <w:rPr>
          <w:rFonts w:ascii="Liberation Serif" w:hAnsi="Liberation Serif"/>
          <w:b w:val="1"/>
          <w:i w:val="1"/>
          <w:sz w:val="20"/>
        </w:rPr>
      </w:pPr>
    </w:p>
    <w:p w14:paraId="3A010000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Справочная информация о порядке обращения граждан в </w:t>
      </w:r>
      <w:r>
        <w:rPr>
          <w:rFonts w:ascii="Liberation Serif" w:hAnsi="Liberation Serif"/>
          <w:sz w:val="28"/>
        </w:rPr>
        <w:t>Управление</w:t>
      </w:r>
      <w:r>
        <w:rPr>
          <w:rFonts w:ascii="Liberation Serif" w:hAnsi="Liberation Serif"/>
          <w:sz w:val="28"/>
        </w:rPr>
        <w:t xml:space="preserve">, месте нахождения и графике работы </w:t>
      </w:r>
      <w:r>
        <w:rPr>
          <w:rFonts w:ascii="Liberation Serif" w:hAnsi="Liberation Serif"/>
          <w:sz w:val="28"/>
        </w:rPr>
        <w:t>Управления</w:t>
      </w:r>
      <w:r>
        <w:rPr>
          <w:rFonts w:ascii="Liberation Serif" w:hAnsi="Liberation Serif"/>
          <w:sz w:val="28"/>
        </w:rPr>
        <w:t xml:space="preserve">, а также о номерах справочных телефонов, электронном адресе </w:t>
      </w:r>
      <w:r>
        <w:rPr>
          <w:rFonts w:ascii="Liberation Serif" w:hAnsi="Liberation Serif"/>
          <w:sz w:val="28"/>
        </w:rPr>
        <w:t>Управления</w:t>
      </w:r>
      <w:r>
        <w:rPr>
          <w:rFonts w:ascii="Liberation Serif" w:hAnsi="Liberation Serif"/>
          <w:sz w:val="28"/>
        </w:rPr>
        <w:t xml:space="preserve"> размещена на официальном сайте </w:t>
      </w:r>
      <w:r>
        <w:rPr>
          <w:rFonts w:ascii="Liberation Serif" w:hAnsi="Liberation Serif"/>
          <w:sz w:val="28"/>
        </w:rPr>
        <w:t xml:space="preserve">Управления </w:t>
      </w:r>
      <w:r>
        <w:rPr>
          <w:rFonts w:ascii="Liberation Serif" w:hAnsi="Liberation Serif"/>
          <w:sz w:val="28"/>
        </w:rPr>
        <w:t xml:space="preserve"> (</w:t>
      </w:r>
      <w:r>
        <w:rPr>
          <w:rFonts w:ascii="Liberation Serif" w:hAnsi="Liberation Serif"/>
          <w:sz w:val="28"/>
        </w:rPr>
        <w:t>https://tusp09.msp.midural.ru/</w:t>
      </w:r>
      <w:r>
        <w:rPr>
          <w:rFonts w:ascii="Liberation Serif" w:hAnsi="Liberation Serif"/>
          <w:sz w:val="28"/>
        </w:rPr>
        <w:t xml:space="preserve">). </w:t>
      </w:r>
    </w:p>
    <w:p w14:paraId="3B010000">
      <w:pPr>
        <w:spacing w:after="0" w:line="240" w:lineRule="auto"/>
        <w:ind/>
        <w:jc w:val="center"/>
        <w:rPr>
          <w:rFonts w:ascii="Liberation Serif" w:hAnsi="Liberation Serif"/>
          <w:b w:val="1"/>
          <w:sz w:val="24"/>
        </w:rPr>
      </w:pPr>
    </w:p>
    <w:p w14:paraId="3C010000">
      <w:pPr>
        <w:spacing w:after="0" w:line="240" w:lineRule="auto"/>
        <w:ind/>
        <w:jc w:val="center"/>
        <w:rPr>
          <w:rFonts w:ascii="Liberation Serif" w:hAnsi="Liberation Serif"/>
          <w:b w:val="1"/>
          <w:sz w:val="28"/>
        </w:rPr>
      </w:pPr>
      <w:r>
        <w:rPr>
          <w:rFonts w:ascii="Liberation Serif" w:hAnsi="Liberation Serif"/>
          <w:b w:val="1"/>
          <w:sz w:val="28"/>
        </w:rPr>
        <w:t>Контроль исполнения поручений по обращениям граждан</w:t>
      </w:r>
    </w:p>
    <w:p w14:paraId="3D010000">
      <w:pPr>
        <w:spacing w:after="0" w:line="240" w:lineRule="auto"/>
        <w:ind/>
        <w:jc w:val="center"/>
        <w:rPr>
          <w:rFonts w:ascii="Liberation Serif" w:hAnsi="Liberation Serif"/>
          <w:b w:val="1"/>
          <w:sz w:val="20"/>
        </w:rPr>
      </w:pPr>
    </w:p>
    <w:p w14:paraId="3E010000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В </w:t>
      </w:r>
      <w:r>
        <w:rPr>
          <w:rFonts w:ascii="Liberation Serif" w:hAnsi="Liberation Serif"/>
          <w:sz w:val="28"/>
        </w:rPr>
        <w:t xml:space="preserve">Управлении </w:t>
      </w:r>
      <w:r>
        <w:rPr>
          <w:rFonts w:ascii="Liberation Serif" w:hAnsi="Liberation Serif"/>
          <w:sz w:val="28"/>
        </w:rPr>
        <w:t xml:space="preserve">социальной политики </w:t>
      </w:r>
      <w:r>
        <w:rPr>
          <w:rFonts w:ascii="Liberation Serif" w:hAnsi="Liberation Serif"/>
          <w:sz w:val="28"/>
        </w:rPr>
        <w:t>№ 9</w:t>
      </w:r>
      <w:r>
        <w:rPr>
          <w:rFonts w:ascii="Liberation Serif" w:hAnsi="Liberation Serif"/>
          <w:sz w:val="28"/>
        </w:rPr>
        <w:t xml:space="preserve"> вопросы рассмотрения обращений граждан находятся на особом контроле. </w:t>
      </w:r>
    </w:p>
    <w:p w14:paraId="3F010000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Должностные лица </w:t>
      </w:r>
      <w:r>
        <w:rPr>
          <w:rFonts w:ascii="Liberation Serif" w:hAnsi="Liberation Serif"/>
          <w:sz w:val="28"/>
        </w:rPr>
        <w:t>Управления (заместители начальника Управления)</w:t>
      </w:r>
      <w:r>
        <w:rPr>
          <w:rFonts w:ascii="Liberation Serif" w:hAnsi="Liberation Serif"/>
          <w:sz w:val="28"/>
        </w:rPr>
        <w:t xml:space="preserve"> в пределах своей компетенции осуществляют контроль за соблюдением порядка рассмотрения обращений, анализируют содержание поступающих обращений, </w:t>
      </w:r>
      <w:r>
        <w:rPr>
          <w:rFonts w:ascii="Liberation Serif" w:hAnsi="Liberation Serif"/>
          <w:sz w:val="28"/>
        </w:rPr>
        <w:t>принимают меры по своевременному выявлению и устранению причин нарушения прав, свобод и законных интересов граждан.</w:t>
      </w:r>
    </w:p>
    <w:p w14:paraId="40010000">
      <w:pPr>
        <w:tabs>
          <w:tab w:leader="none" w:pos="8080" w:val="left"/>
        </w:tabs>
        <w:spacing w:after="0" w:line="240" w:lineRule="auto"/>
        <w:ind/>
        <w:jc w:val="center"/>
        <w:rPr>
          <w:rFonts w:ascii="Liberation Serif" w:hAnsi="Liberation Serif"/>
          <w:sz w:val="28"/>
        </w:rPr>
      </w:pPr>
    </w:p>
    <w:sectPr>
      <w:headerReference r:id="rId1" w:type="default"/>
      <w:pgSz w:h="16838" w:orient="portrait" w:w="11906"/>
      <w:pgMar w:bottom="1134" w:footer="709" w:gutter="0" w:header="426" w:left="1418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"/>
      <w:lvlJc w:val="left"/>
      <w:pPr>
        <w:tabs>
          <w:tab w:leader="none" w:pos="0" w:val="left"/>
        </w:tabs>
        <w:ind w:firstLine="0" w:left="0"/>
      </w:pPr>
    </w:lvl>
    <w:lvl w:ilvl="1">
      <w:start w:val="1"/>
      <w:numFmt w:val="decimal"/>
      <w:lvlText w:val=""/>
      <w:lvlJc w:val="left"/>
      <w:pPr>
        <w:tabs>
          <w:tab w:leader="none" w:pos="0" w:val="left"/>
        </w:tabs>
        <w:ind w:firstLine="0" w:left="0"/>
      </w:pPr>
    </w:lvl>
    <w:lvl w:ilvl="2">
      <w:start w:val="1"/>
      <w:numFmt w:val="decimal"/>
      <w:lvlText w:val=""/>
      <w:lvlJc w:val="left"/>
      <w:pPr>
        <w:tabs>
          <w:tab w:leader="none" w:pos="0" w:val="left"/>
        </w:tabs>
        <w:ind w:firstLine="0" w:left="0"/>
      </w:pPr>
    </w:lvl>
    <w:lvl w:ilvl="3">
      <w:start w:val="1"/>
      <w:numFmt w:val="decimal"/>
      <w:lvlText w:val=""/>
      <w:lvlJc w:val="left"/>
      <w:pPr>
        <w:tabs>
          <w:tab w:leader="none" w:pos="0" w:val="left"/>
        </w:tabs>
        <w:ind w:firstLine="0" w:left="0"/>
      </w:pPr>
    </w:lvl>
    <w:lvl w:ilvl="4">
      <w:start w:val="1"/>
      <w:numFmt w:val="decimal"/>
      <w:lvlText w:val=""/>
      <w:lvlJc w:val="left"/>
      <w:pPr>
        <w:tabs>
          <w:tab w:leader="none" w:pos="0" w:val="left"/>
        </w:tabs>
        <w:ind w:firstLine="0" w:left="0"/>
      </w:pPr>
    </w:lvl>
    <w:lvl w:ilvl="5">
      <w:start w:val="1"/>
      <w:numFmt w:val="decimal"/>
      <w:lvlText w:val=""/>
      <w:lvlJc w:val="left"/>
      <w:pPr>
        <w:tabs>
          <w:tab w:leader="none" w:pos="0" w:val="left"/>
        </w:tabs>
        <w:ind w:firstLine="0" w:left="0"/>
      </w:pPr>
    </w:lvl>
    <w:lvl w:ilvl="6">
      <w:start w:val="1"/>
      <w:numFmt w:val="decimal"/>
      <w:lvlText w:val=""/>
      <w:lvlJc w:val="left"/>
      <w:pPr>
        <w:tabs>
          <w:tab w:leader="none" w:pos="0" w:val="left"/>
        </w:tabs>
        <w:ind w:firstLine="0" w:left="0"/>
      </w:pPr>
    </w:lvl>
    <w:lvl w:ilvl="7">
      <w:start w:val="1"/>
      <w:numFmt w:val="decimal"/>
      <w:lvlText w:val=""/>
      <w:lvlJc w:val="left"/>
      <w:pPr>
        <w:tabs>
          <w:tab w:leader="none" w:pos="0" w:val="left"/>
        </w:tabs>
        <w:ind w:firstLine="0" w:left="0"/>
      </w:pPr>
    </w:lvl>
    <w:lvl w:ilvl="8">
      <w:start w:val="1"/>
      <w:numFmt w:val="decimal"/>
      <w:lvlText w:val=""/>
      <w:lvlJc w:val="left"/>
      <w:pPr>
        <w:tabs>
          <w:tab w:leader="none" w:pos="0" w:val="left"/>
        </w:tabs>
        <w:ind w:firstLine="0" w:left="0"/>
      </w:pPr>
    </w:lvl>
  </w:abstractNum>
  <w:abstractNum w:abstractNumId="1">
    <w:lvl w:ilvl="0">
      <w:start w:val="1"/>
      <w:numFmt w:val="decimal"/>
      <w:pStyle w:val="Style_3"/>
      <w:lvlText w:val="%1."/>
      <w:lvlJc w:val="left"/>
      <w:pPr>
        <w:ind w:hanging="360" w:left="720"/>
      </w:pPr>
    </w:lvl>
    <w:lvl w:ilvl="1">
      <w:start w:val="1"/>
      <w:numFmt w:val="lowerLetter"/>
      <w:pStyle w:val="Style_35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Body Text Indent"/>
    <w:basedOn w:val="Style_4"/>
    <w:link w:val="Style_5_ch"/>
    <w:pPr>
      <w:spacing w:after="120"/>
      <w:ind w:left="283"/>
    </w:pPr>
  </w:style>
  <w:style w:styleId="Style_5_ch" w:type="character">
    <w:name w:val="Body Text Indent"/>
    <w:basedOn w:val="Style_4_ch"/>
    <w:link w:val="Style_5"/>
  </w:style>
  <w:style w:styleId="Style_6" w:type="paragraph">
    <w:name w:val="toc 2"/>
    <w:next w:val="Style_4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4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 reference"/>
    <w:basedOn w:val="Style_11"/>
    <w:link w:val="Style_10_ch"/>
    <w:rPr>
      <w:vertAlign w:val="superscript"/>
    </w:rPr>
  </w:style>
  <w:style w:styleId="Style_10_ch" w:type="character">
    <w:name w:val="endnote reference"/>
    <w:basedOn w:val="Style_11_ch"/>
    <w:link w:val="Style_10"/>
    <w:rPr>
      <w:vertAlign w:val="superscript"/>
    </w:rPr>
  </w:style>
  <w:style w:styleId="Style_12" w:type="paragraph">
    <w:name w:val="Endnote"/>
    <w:basedOn w:val="Style_4"/>
    <w:link w:val="Style_12_ch"/>
    <w:pPr>
      <w:spacing w:after="0" w:line="240" w:lineRule="auto"/>
      <w:ind/>
    </w:pPr>
    <w:rPr>
      <w:sz w:val="20"/>
    </w:rPr>
  </w:style>
  <w:style w:styleId="Style_12_ch" w:type="character">
    <w:name w:val="Endnote"/>
    <w:basedOn w:val="Style_4_ch"/>
    <w:link w:val="Style_12"/>
    <w:rPr>
      <w:sz w:val="20"/>
    </w:rPr>
  </w:style>
  <w:style w:styleId="Style_13" w:type="paragraph">
    <w:name w:val="heading 3"/>
    <w:basedOn w:val="Style_4"/>
    <w:next w:val="Style_4"/>
    <w:link w:val="Style_13_ch"/>
    <w:uiPriority w:val="9"/>
    <w:qFormat/>
    <w:pPr>
      <w:keepNext w:val="1"/>
      <w:keepLines w:val="1"/>
      <w:spacing w:after="0" w:before="200"/>
      <w:ind/>
      <w:outlineLvl w:val="2"/>
    </w:pPr>
    <w:rPr>
      <w:rFonts w:asciiTheme="majorAscii" w:hAnsiTheme="majorHAnsi"/>
      <w:b w:val="1"/>
      <w:color w:themeColor="accent1" w:val="4F81BD"/>
    </w:rPr>
  </w:style>
  <w:style w:styleId="Style_13_ch" w:type="character">
    <w:name w:val="heading 3"/>
    <w:basedOn w:val="Style_4_ch"/>
    <w:link w:val="Style_13"/>
    <w:rPr>
      <w:rFonts w:asciiTheme="majorAscii" w:hAnsiTheme="majorHAnsi"/>
      <w:b w:val="1"/>
      <w:color w:themeColor="accent1" w:val="4F81BD"/>
    </w:rPr>
  </w:style>
  <w:style w:styleId="Style_14" w:type="paragraph">
    <w:name w:val="Normal (Web)"/>
    <w:basedOn w:val="Style_4"/>
    <w:link w:val="Style_14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4_ch" w:type="character">
    <w:name w:val="Normal (Web)"/>
    <w:basedOn w:val="Style_4_ch"/>
    <w:link w:val="Style_14"/>
    <w:rPr>
      <w:rFonts w:ascii="Times New Roman" w:hAnsi="Times New Roman"/>
      <w:sz w:val="24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5" w:type="paragraph">
    <w:name w:val="List Paragraph"/>
    <w:basedOn w:val="Style_4"/>
    <w:link w:val="Style_15_ch"/>
    <w:pPr>
      <w:ind w:left="720"/>
      <w:contextualSpacing w:val="1"/>
    </w:pPr>
  </w:style>
  <w:style w:styleId="Style_15_ch" w:type="character">
    <w:name w:val="List Paragraph"/>
    <w:basedOn w:val="Style_4_ch"/>
    <w:link w:val="Style_15"/>
  </w:style>
  <w:style w:styleId="Style_1" w:type="paragraph">
    <w:name w:val="header"/>
    <w:basedOn w:val="Style_4"/>
    <w:link w:val="Style_1_ch"/>
    <w:pPr>
      <w:tabs>
        <w:tab w:leader="none" w:pos="4536" w:val="center"/>
        <w:tab w:leader="none" w:pos="9072" w:val="right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styleId="Style_1_ch" w:type="character">
    <w:name w:val="header"/>
    <w:basedOn w:val="Style_4_ch"/>
    <w:link w:val="Style_1"/>
    <w:rPr>
      <w:rFonts w:ascii="Times New Roman" w:hAnsi="Times New Roman"/>
      <w:sz w:val="28"/>
    </w:rPr>
  </w:style>
  <w:style w:styleId="Style_16" w:type="paragraph">
    <w:name w:val="Body Text Indent 2"/>
    <w:basedOn w:val="Style_4"/>
    <w:link w:val="Style_16_ch"/>
    <w:pPr>
      <w:spacing w:after="120" w:line="480" w:lineRule="auto"/>
      <w:ind w:left="283"/>
    </w:pPr>
    <w:rPr>
      <w:rFonts w:ascii="Times New Roman" w:hAnsi="Times New Roman"/>
      <w:sz w:val="20"/>
    </w:rPr>
  </w:style>
  <w:style w:styleId="Style_16_ch" w:type="character">
    <w:name w:val="Body Text Indent 2"/>
    <w:basedOn w:val="Style_4_ch"/>
    <w:link w:val="Style_16"/>
    <w:rPr>
      <w:rFonts w:ascii="Times New Roman" w:hAnsi="Times New Roman"/>
      <w:sz w:val="20"/>
    </w:rPr>
  </w:style>
  <w:style w:styleId="Style_17" w:type="paragraph">
    <w:name w:val="annotation reference"/>
    <w:basedOn w:val="Style_11"/>
    <w:link w:val="Style_17_ch"/>
    <w:rPr>
      <w:sz w:val="16"/>
    </w:rPr>
  </w:style>
  <w:style w:styleId="Style_17_ch" w:type="character">
    <w:name w:val="annotation reference"/>
    <w:basedOn w:val="Style_11_ch"/>
    <w:link w:val="Style_17"/>
    <w:rPr>
      <w:sz w:val="16"/>
    </w:rPr>
  </w:style>
  <w:style w:styleId="Style_18" w:type="paragraph">
    <w:name w:val="toc 3"/>
    <w:next w:val="Style_4"/>
    <w:link w:val="Style_1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8_ch" w:type="character">
    <w:name w:val="toc 3"/>
    <w:link w:val="Style_18"/>
    <w:rPr>
      <w:rFonts w:ascii="XO Thames" w:hAnsi="XO Thames"/>
      <w:sz w:val="28"/>
    </w:rPr>
  </w:style>
  <w:style w:styleId="Style_19" w:type="paragraph">
    <w:name w:val="heading 5"/>
    <w:next w:val="Style_4"/>
    <w:link w:val="Style_1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9_ch" w:type="character">
    <w:name w:val="heading 5"/>
    <w:link w:val="Style_19"/>
    <w:rPr>
      <w:rFonts w:ascii="XO Thames" w:hAnsi="XO Thames"/>
      <w:b w:val="1"/>
      <w:sz w:val="22"/>
    </w:rPr>
  </w:style>
  <w:style w:styleId="Style_3" w:type="paragraph">
    <w:name w:val="heading 1"/>
    <w:basedOn w:val="Style_4"/>
    <w:next w:val="Style_4"/>
    <w:link w:val="Style_3_ch"/>
    <w:uiPriority w:val="9"/>
    <w:qFormat/>
    <w:pPr>
      <w:keepNext w:val="1"/>
      <w:numPr>
        <w:numId w:val="2"/>
      </w:numPr>
      <w:spacing w:after="0" w:line="240" w:lineRule="auto"/>
      <w:ind/>
      <w:jc w:val="center"/>
      <w:outlineLvl w:val="0"/>
    </w:pPr>
    <w:rPr>
      <w:rFonts w:ascii="Times New Roman" w:hAnsi="Times New Roman"/>
      <w:b w:val="1"/>
      <w:sz w:val="24"/>
    </w:rPr>
  </w:style>
  <w:style w:styleId="Style_3_ch" w:type="character">
    <w:name w:val="heading 1"/>
    <w:basedOn w:val="Style_4_ch"/>
    <w:link w:val="Style_3"/>
    <w:rPr>
      <w:rFonts w:ascii="Times New Roman" w:hAnsi="Times New Roman"/>
      <w:b w:val="1"/>
      <w:sz w:val="24"/>
    </w:rPr>
  </w:style>
  <w:style w:styleId="Style_20" w:type="paragraph">
    <w:name w:val="annotation text"/>
    <w:basedOn w:val="Style_4"/>
    <w:link w:val="Style_20_ch"/>
    <w:pPr>
      <w:spacing w:line="240" w:lineRule="auto"/>
      <w:ind/>
    </w:pPr>
    <w:rPr>
      <w:sz w:val="20"/>
    </w:rPr>
  </w:style>
  <w:style w:styleId="Style_20_ch" w:type="character">
    <w:name w:val="annotation text"/>
    <w:basedOn w:val="Style_4_ch"/>
    <w:link w:val="Style_20"/>
    <w:rPr>
      <w:sz w:val="20"/>
    </w:rPr>
  </w:style>
  <w:style w:styleId="Style_21" w:type="paragraph">
    <w:name w:val="Документ в списке"/>
    <w:basedOn w:val="Style_4"/>
    <w:next w:val="Style_4"/>
    <w:link w:val="Style_21_ch"/>
    <w:pPr>
      <w:spacing w:after="0" w:before="120" w:line="240" w:lineRule="auto"/>
      <w:ind w:right="300"/>
      <w:jc w:val="both"/>
    </w:pPr>
    <w:rPr>
      <w:rFonts w:ascii="Arial" w:hAnsi="Arial"/>
      <w:color w:val="000000"/>
      <w:sz w:val="24"/>
    </w:rPr>
  </w:style>
  <w:style w:styleId="Style_21_ch" w:type="character">
    <w:name w:val="Документ в списке"/>
    <w:basedOn w:val="Style_4_ch"/>
    <w:link w:val="Style_21"/>
    <w:rPr>
      <w:rFonts w:ascii="Arial" w:hAnsi="Arial"/>
      <w:color w:val="000000"/>
      <w:sz w:val="24"/>
    </w:rPr>
  </w:style>
  <w:style w:styleId="Style_22" w:type="paragraph">
    <w:name w:val="Hyperlink"/>
    <w:basedOn w:val="Style_11"/>
    <w:link w:val="Style_22_ch"/>
    <w:rPr>
      <w:color w:themeColor="hyperlink" w:val="0000FF"/>
      <w:u w:val="single"/>
    </w:rPr>
  </w:style>
  <w:style w:styleId="Style_22_ch" w:type="character">
    <w:name w:val="Hyperlink"/>
    <w:basedOn w:val="Style_11_ch"/>
    <w:link w:val="Style_22"/>
    <w:rPr>
      <w:color w:themeColor="hyperlink" w:val="0000FF"/>
      <w:u w:val="single"/>
    </w:rPr>
  </w:style>
  <w:style w:styleId="Style_23" w:type="paragraph">
    <w:name w:val="Footnote"/>
    <w:link w:val="Style_23_ch"/>
    <w:pPr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4"/>
    <w:link w:val="Style_2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Header and Footer"/>
    <w:link w:val="Style_25_ch"/>
    <w:pPr>
      <w:spacing w:line="240" w:lineRule="auto"/>
      <w:ind/>
      <w:jc w:val="both"/>
    </w:pPr>
    <w:rPr>
      <w:rFonts w:ascii="XO Thames" w:hAnsi="XO Thames"/>
      <w:sz w:val="28"/>
    </w:rPr>
  </w:style>
  <w:style w:styleId="Style_25_ch" w:type="character">
    <w:name w:val="Header and Footer"/>
    <w:link w:val="Style_25"/>
    <w:rPr>
      <w:rFonts w:ascii="XO Thames" w:hAnsi="XO Thames"/>
      <w:sz w:val="28"/>
    </w:rPr>
  </w:style>
  <w:style w:styleId="Style_26" w:type="paragraph">
    <w:name w:val="Balloon Text"/>
    <w:basedOn w:val="Style_4"/>
    <w:link w:val="Style_26_ch"/>
    <w:pPr>
      <w:spacing w:after="0" w:line="240" w:lineRule="auto"/>
      <w:ind/>
    </w:pPr>
    <w:rPr>
      <w:rFonts w:ascii="Tahoma" w:hAnsi="Tahoma"/>
      <w:sz w:val="16"/>
    </w:rPr>
  </w:style>
  <w:style w:styleId="Style_26_ch" w:type="character">
    <w:name w:val="Balloon Text"/>
    <w:basedOn w:val="Style_4_ch"/>
    <w:link w:val="Style_26"/>
    <w:rPr>
      <w:rFonts w:ascii="Tahoma" w:hAnsi="Tahoma"/>
      <w:sz w:val="16"/>
    </w:rPr>
  </w:style>
  <w:style w:styleId="Style_27" w:type="paragraph">
    <w:name w:val="toc 9"/>
    <w:next w:val="Style_4"/>
    <w:link w:val="Style_2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7_ch" w:type="character">
    <w:name w:val="toc 9"/>
    <w:link w:val="Style_27"/>
    <w:rPr>
      <w:rFonts w:ascii="XO Thames" w:hAnsi="XO Thames"/>
      <w:sz w:val="28"/>
    </w:rPr>
  </w:style>
  <w:style w:styleId="Style_28" w:type="paragraph">
    <w:name w:val="toc 8"/>
    <w:next w:val="Style_4"/>
    <w:link w:val="Style_2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8_ch" w:type="character">
    <w:name w:val="toc 8"/>
    <w:link w:val="Style_28"/>
    <w:rPr>
      <w:rFonts w:ascii="XO Thames" w:hAnsi="XO Thames"/>
      <w:sz w:val="28"/>
    </w:rPr>
  </w:style>
  <w:style w:styleId="Style_29" w:type="paragraph">
    <w:name w:val="toc 5"/>
    <w:next w:val="Style_4"/>
    <w:link w:val="Style_2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9_ch" w:type="character">
    <w:name w:val="toc 5"/>
    <w:link w:val="Style_29"/>
    <w:rPr>
      <w:rFonts w:ascii="XO Thames" w:hAnsi="XO Thames"/>
      <w:sz w:val="28"/>
    </w:rPr>
  </w:style>
  <w:style w:styleId="Style_30" w:type="paragraph">
    <w:name w:val="annotation subject"/>
    <w:basedOn w:val="Style_20"/>
    <w:next w:val="Style_20"/>
    <w:link w:val="Style_30_ch"/>
    <w:rPr>
      <w:b w:val="1"/>
    </w:rPr>
  </w:style>
  <w:style w:styleId="Style_30_ch" w:type="character">
    <w:name w:val="annotation subject"/>
    <w:basedOn w:val="Style_20_ch"/>
    <w:link w:val="Style_30"/>
    <w:rPr>
      <w:b w:val="1"/>
    </w:rPr>
  </w:style>
  <w:style w:styleId="Style_31" w:type="paragraph">
    <w:name w:val="Subtitle"/>
    <w:next w:val="Style_4"/>
    <w:link w:val="Style_3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1_ch" w:type="character">
    <w:name w:val="Subtitle"/>
    <w:link w:val="Style_31"/>
    <w:rPr>
      <w:rFonts w:ascii="XO Thames" w:hAnsi="XO Thames"/>
      <w:i w:val="1"/>
      <w:sz w:val="24"/>
    </w:rPr>
  </w:style>
  <w:style w:styleId="Style_32" w:type="paragraph">
    <w:name w:val="footer"/>
    <w:basedOn w:val="Style_4"/>
    <w:link w:val="Style_32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32_ch" w:type="character">
    <w:name w:val="footer"/>
    <w:basedOn w:val="Style_4_ch"/>
    <w:link w:val="Style_32"/>
  </w:style>
  <w:style w:styleId="Style_33" w:type="paragraph">
    <w:name w:val="Title"/>
    <w:next w:val="Style_4"/>
    <w:link w:val="Style_3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3_ch" w:type="character">
    <w:name w:val="Title"/>
    <w:link w:val="Style_33"/>
    <w:rPr>
      <w:rFonts w:ascii="XO Thames" w:hAnsi="XO Thames"/>
      <w:b w:val="1"/>
      <w:caps w:val="1"/>
      <w:sz w:val="40"/>
    </w:rPr>
  </w:style>
  <w:style w:styleId="Style_34" w:type="paragraph">
    <w:name w:val="heading 4"/>
    <w:next w:val="Style_4"/>
    <w:link w:val="Style_3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4_ch" w:type="character">
    <w:name w:val="heading 4"/>
    <w:link w:val="Style_34"/>
    <w:rPr>
      <w:rFonts w:ascii="XO Thames" w:hAnsi="XO Thames"/>
      <w:b w:val="1"/>
      <w:sz w:val="24"/>
    </w:rPr>
  </w:style>
  <w:style w:styleId="Style_35" w:type="paragraph">
    <w:name w:val="heading 2"/>
    <w:basedOn w:val="Style_4"/>
    <w:next w:val="Style_4"/>
    <w:link w:val="Style_35_ch"/>
    <w:uiPriority w:val="9"/>
    <w:qFormat/>
    <w:pPr>
      <w:keepNext w:val="1"/>
      <w:numPr>
        <w:ilvl w:val="1"/>
        <w:numId w:val="2"/>
      </w:numPr>
      <w:spacing w:after="0" w:line="240" w:lineRule="auto"/>
      <w:ind/>
      <w:outlineLvl w:val="1"/>
    </w:pPr>
    <w:rPr>
      <w:rFonts w:ascii="Times New Roman" w:hAnsi="Times New Roman"/>
      <w:b w:val="1"/>
      <w:i w:val="1"/>
      <w:sz w:val="24"/>
    </w:rPr>
  </w:style>
  <w:style w:styleId="Style_35_ch" w:type="character">
    <w:name w:val="heading 2"/>
    <w:basedOn w:val="Style_4_ch"/>
    <w:link w:val="Style_35"/>
    <w:rPr>
      <w:rFonts w:ascii="Times New Roman" w:hAnsi="Times New Roman"/>
      <w:b w:val="1"/>
      <w:i w:val="1"/>
      <w:sz w:val="24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6" w:type="table">
    <w:name w:val="Table Grid"/>
    <w:basedOn w:val="Style_2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7" w:type="table">
    <w:name w:val="Сетка таблицы1"/>
    <w:basedOn w:val="Style_2"/>
    <w:pPr>
      <w:spacing w:after="0" w:line="240" w:lineRule="auto"/>
      <w:ind/>
    </w:pPr>
    <w:rPr>
      <w:rFonts w:ascii="Calibri" w:hAnsi="Calibri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2025-06-24T06:38:40Z</dcterms:modified>
</cp:coreProperties>
</file>