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2000000">
      <w:pPr>
        <w:pStyle w:val="Style_2"/>
        <w:ind/>
        <w:jc w:val="center"/>
        <w:rPr>
          <w:rFonts w:ascii="Liberation Serif" w:hAnsi="Liberation Serif"/>
          <w:b w:val="1"/>
          <w:sz w:val="26"/>
        </w:rPr>
      </w:pPr>
    </w:p>
    <w:p w14:paraId="03000000">
      <w:pPr>
        <w:pStyle w:val="Style_2"/>
        <w:ind/>
        <w:jc w:val="center"/>
        <w:rPr>
          <w:rFonts w:ascii="Liberation Serif" w:hAnsi="Liberation Serif"/>
          <w:sz w:val="26"/>
        </w:rPr>
      </w:pPr>
      <w:r>
        <w:rPr>
          <w:rFonts w:ascii="Liberation Serif" w:hAnsi="Liberation Serif"/>
          <w:b w:val="1"/>
          <w:sz w:val="26"/>
        </w:rPr>
        <w:t>Об утверждении перечня коррупционно-опасных функций</w:t>
      </w:r>
    </w:p>
    <w:p w14:paraId="04000000">
      <w:pPr>
        <w:pStyle w:val="Style_2"/>
        <w:ind/>
        <w:jc w:val="center"/>
        <w:rPr>
          <w:rFonts w:ascii="Liberation Serif" w:hAnsi="Liberation Serif"/>
          <w:sz w:val="26"/>
        </w:rPr>
      </w:pPr>
      <w:r>
        <w:rPr>
          <w:rFonts w:ascii="Liberation Serif" w:hAnsi="Liberation Serif"/>
          <w:b w:val="1"/>
          <w:sz w:val="26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</w:t>
      </w:r>
    </w:p>
    <w:p w14:paraId="05000000">
      <w:pPr>
        <w:pStyle w:val="Style_2"/>
        <w:ind/>
        <w:jc w:val="center"/>
        <w:rPr>
          <w:rFonts w:ascii="Liberation Serif" w:hAnsi="Liberation Serif"/>
          <w:sz w:val="26"/>
        </w:rPr>
      </w:pPr>
    </w:p>
    <w:p w14:paraId="06000000">
      <w:pPr>
        <w:pStyle w:val="Style_2"/>
        <w:ind w:firstLine="709"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 xml:space="preserve">В целях реализации </w:t>
      </w:r>
      <w:r>
        <w:rPr>
          <w:rFonts w:ascii="Liberation Serif" w:hAnsi="Liberation Serif"/>
          <w:color w:val="000000"/>
          <w:sz w:val="26"/>
        </w:rPr>
        <w:t xml:space="preserve">Федерального закона от 25 декабря 2008 года № 273-ФЗ «О противодействии коррупции» и Закона Свердловской области от 20 февраля 2009 года № 2-ОЗ «О противодействии коррупции в Свердловской области», руководствуясь Методическими рекомендациями </w:t>
      </w:r>
      <w:r>
        <w:rPr>
          <w:rFonts w:ascii="Liberation Serif" w:hAnsi="Liberation Serif"/>
          <w:sz w:val="26"/>
        </w:rPr>
        <w:t>по проведению оценки коррупционных рисков, возникающих при реализации функций, направленными письмом Минтруда России от 25.12.2014 № 18-0/10/В-8980,</w:t>
      </w:r>
      <w:r>
        <w:rPr>
          <w:rFonts w:ascii="Liberation Serif" w:hAnsi="Liberation Serif"/>
          <w:sz w:val="26"/>
        </w:rPr>
        <w:t xml:space="preserve"> Положением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 10, утвержденным постановлением Правительства Свердловской области от 23.04.2020 № 274-ПП «Об утверждении положений о территориальных отраслевых исполнительных органах государственной власти Свердловской области - управлениях социальной политики Министерства социальной политики Свердловской области», </w:t>
      </w:r>
    </w:p>
    <w:p w14:paraId="07000000">
      <w:pPr>
        <w:pStyle w:val="Style_2"/>
        <w:ind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b w:val="1"/>
          <w:sz w:val="26"/>
        </w:rPr>
        <w:t>ПРИКАЗЫВАЮ:</w:t>
      </w:r>
    </w:p>
    <w:p w14:paraId="08000000">
      <w:pPr>
        <w:pStyle w:val="Style_2"/>
        <w:tabs>
          <w:tab w:leader="none" w:pos="0" w:val="left"/>
          <w:tab w:leader="none" w:pos="709" w:val="clear"/>
        </w:tabs>
        <w:ind w:firstLine="0"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ab/>
      </w:r>
      <w:r>
        <w:rPr>
          <w:rFonts w:ascii="Liberation Serif" w:hAnsi="Liberation Serif"/>
          <w:sz w:val="26"/>
        </w:rPr>
        <w:t>1. Утвердить Перечень коррупционно-опасных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 10 (прилагается).</w:t>
      </w:r>
    </w:p>
    <w:p w14:paraId="09000000">
      <w:pPr>
        <w:pStyle w:val="Style_2"/>
        <w:tabs>
          <w:tab w:leader="none" w:pos="0" w:val="left"/>
          <w:tab w:leader="none" w:pos="709" w:val="clear"/>
        </w:tabs>
        <w:ind w:firstLine="0"/>
        <w:jc w:val="both"/>
      </w:pPr>
      <w:r>
        <w:rPr>
          <w:rFonts w:ascii="Liberation Serif" w:hAnsi="Liberation Serif"/>
          <w:sz w:val="26"/>
        </w:rPr>
        <w:tab/>
      </w:r>
      <w:r>
        <w:rPr>
          <w:rFonts w:ascii="Liberation Serif" w:hAnsi="Liberation Serif"/>
          <w:sz w:val="26"/>
        </w:rPr>
        <w:t>2. Признать утратившим силу приказ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 10 от 22.09.2022 № 2079 «Об утверждении перечня коррупционно-опасных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 10» (</w:t>
      </w:r>
      <w:r>
        <w:rPr>
          <w:rStyle w:val="Style_3_ch"/>
          <w:rFonts w:ascii="Liberation Serif" w:hAnsi="Liberation Serif"/>
          <w:sz w:val="26"/>
        </w:rPr>
        <w:fldChar w:fldCharType="begin"/>
      </w:r>
      <w:r>
        <w:rPr>
          <w:rStyle w:val="Style_3_ch"/>
          <w:rFonts w:ascii="Liberation Serif" w:hAnsi="Liberation Serif"/>
          <w:sz w:val="26"/>
        </w:rPr>
        <w:instrText>HYPERLINK "http://www.pravo.gov66.ru/"</w:instrText>
      </w:r>
      <w:r>
        <w:rPr>
          <w:rStyle w:val="Style_3_ch"/>
          <w:rFonts w:ascii="Liberation Serif" w:hAnsi="Liberation Serif"/>
          <w:sz w:val="26"/>
        </w:rPr>
        <w:fldChar w:fldCharType="separate"/>
      </w:r>
      <w:r>
        <w:rPr>
          <w:rStyle w:val="Style_3_ch"/>
          <w:rFonts w:ascii="Liberation Serif" w:hAnsi="Liberation Serif"/>
          <w:sz w:val="26"/>
        </w:rPr>
        <w:t>www.pravo.gov66.ru</w:t>
      </w:r>
      <w:r>
        <w:rPr>
          <w:rStyle w:val="Style_3_ch"/>
          <w:rFonts w:ascii="Liberation Serif" w:hAnsi="Liberation Serif"/>
          <w:sz w:val="26"/>
        </w:rPr>
        <w:fldChar w:fldCharType="end"/>
      </w:r>
      <w:r>
        <w:rPr>
          <w:rFonts w:ascii="Liberation Serif" w:hAnsi="Liberation Serif"/>
          <w:sz w:val="26"/>
        </w:rPr>
        <w:t>), 2022, 27 сентября, № 3610</w:t>
      </w:r>
      <w:r>
        <w:rPr>
          <w:rFonts w:ascii="Liberation Serif" w:hAnsi="Liberation Serif"/>
          <w:sz w:val="26"/>
        </w:rPr>
        <w:t>6</w:t>
      </w:r>
      <w:r>
        <w:rPr>
          <w:rFonts w:ascii="Liberation Serif" w:hAnsi="Liberation Serif"/>
          <w:sz w:val="26"/>
        </w:rPr>
        <w:t>).</w:t>
      </w:r>
    </w:p>
    <w:p w14:paraId="0A000000">
      <w:pPr>
        <w:pStyle w:val="Style_2"/>
        <w:spacing w:line="228" w:lineRule="auto"/>
        <w:ind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ab/>
      </w:r>
      <w:r>
        <w:rPr>
          <w:rFonts w:ascii="Liberation Serif" w:hAnsi="Liberation Serif"/>
          <w:sz w:val="26"/>
        </w:rPr>
        <w:t>3.</w:t>
      </w:r>
      <w:r>
        <w:rPr>
          <w:rFonts w:ascii="Liberation Serif" w:hAnsi="Liberation Serif"/>
          <w:sz w:val="26"/>
        </w:rPr>
        <w:t> </w:t>
      </w:r>
      <w:r>
        <w:rPr>
          <w:rFonts w:ascii="Liberation Serif" w:hAnsi="Liberation Serif"/>
          <w:sz w:val="26"/>
        </w:rPr>
        <w:t>Настоящий приказ опубликовать на «Официальном интернет-портале правовой информации Свердловской области» (</w:t>
      </w:r>
      <w:r>
        <w:rPr>
          <w:rStyle w:val="Style_3_ch"/>
          <w:rFonts w:ascii="Liberation Serif" w:hAnsi="Liberation Serif"/>
          <w:sz w:val="26"/>
        </w:rPr>
        <w:fldChar w:fldCharType="begin"/>
      </w:r>
      <w:r>
        <w:rPr>
          <w:rStyle w:val="Style_3_ch"/>
          <w:rFonts w:ascii="Liberation Serif" w:hAnsi="Liberation Serif"/>
          <w:sz w:val="26"/>
        </w:rPr>
        <w:instrText>HYPERLINK "http://www.pravo.gov66.ru/"</w:instrText>
      </w:r>
      <w:r>
        <w:rPr>
          <w:rStyle w:val="Style_3_ch"/>
          <w:rFonts w:ascii="Liberation Serif" w:hAnsi="Liberation Serif"/>
          <w:sz w:val="26"/>
        </w:rPr>
        <w:fldChar w:fldCharType="separate"/>
      </w:r>
      <w:r>
        <w:rPr>
          <w:rStyle w:val="Style_3_ch"/>
          <w:rFonts w:ascii="Liberation Serif" w:hAnsi="Liberation Serif"/>
          <w:sz w:val="26"/>
        </w:rPr>
        <w:t>www.pravo.gov66.ru</w:t>
      </w:r>
      <w:r>
        <w:rPr>
          <w:rStyle w:val="Style_3_ch"/>
          <w:rFonts w:ascii="Liberation Serif" w:hAnsi="Liberation Serif"/>
          <w:sz w:val="26"/>
        </w:rPr>
        <w:fldChar w:fldCharType="end"/>
      </w:r>
      <w:r>
        <w:rPr>
          <w:rFonts w:ascii="Liberation Serif" w:hAnsi="Liberation Serif"/>
          <w:sz w:val="26"/>
        </w:rPr>
        <w:fldChar w:fldCharType="begin"/>
      </w:r>
      <w:r>
        <w:rPr>
          <w:rFonts w:ascii="Liberation Serif" w:hAnsi="Liberation Serif"/>
          <w:sz w:val="26"/>
        </w:rPr>
        <w:instrText>HYPERLINK</w:instrText>
      </w:r>
      <w:r>
        <w:rPr>
          <w:rFonts w:ascii="Liberation Serif" w:hAnsi="Liberation Serif"/>
          <w:sz w:val="26"/>
        </w:rPr>
        <w:fldChar w:fldCharType="separate"/>
      </w:r>
      <w:r>
        <w:rPr>
          <w:rFonts w:ascii="Liberation Serif" w:hAnsi="Liberation Serif"/>
          <w:sz w:val="26"/>
        </w:rPr>
        <w:t>).</w:t>
      </w:r>
      <w:r>
        <w:rPr>
          <w:rFonts w:ascii="Liberation Serif" w:hAnsi="Liberation Serif"/>
          <w:sz w:val="26"/>
        </w:rPr>
        <w:fldChar w:fldCharType="end"/>
      </w:r>
    </w:p>
    <w:p w14:paraId="0B000000">
      <w:pPr>
        <w:pStyle w:val="Style_2"/>
        <w:spacing w:line="228" w:lineRule="auto"/>
        <w:ind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ab/>
      </w:r>
      <w:r>
        <w:rPr>
          <w:rFonts w:ascii="Liberation Serif" w:hAnsi="Liberation Serif"/>
          <w:sz w:val="26"/>
        </w:rPr>
        <w:t>4.</w:t>
      </w:r>
      <w:r>
        <w:rPr>
          <w:rFonts w:ascii="Liberation Serif" w:hAnsi="Liberation Serif"/>
          <w:sz w:val="26"/>
        </w:rPr>
        <w:t> </w:t>
      </w:r>
      <w:r>
        <w:rPr>
          <w:rFonts w:ascii="Liberation Serif" w:hAnsi="Liberation Serif"/>
          <w:sz w:val="26"/>
        </w:rPr>
        <w:t>Контроль за исполнением настоящего приказа оставляю за собой.</w:t>
      </w:r>
    </w:p>
    <w:p w14:paraId="0C000000">
      <w:pPr>
        <w:pStyle w:val="Style_2"/>
        <w:spacing w:line="228" w:lineRule="auto"/>
        <w:ind w:firstLine="0" w:left="5387"/>
        <w:jc w:val="both"/>
        <w:rPr>
          <w:rFonts w:ascii="Liberation Serif" w:hAnsi="Liberation Serif"/>
          <w:sz w:val="26"/>
        </w:rPr>
      </w:pPr>
    </w:p>
    <w:p w14:paraId="0D000000">
      <w:pPr>
        <w:pStyle w:val="Style_2"/>
        <w:spacing w:line="228" w:lineRule="auto"/>
        <w:ind w:firstLine="0" w:left="5387"/>
        <w:jc w:val="both"/>
        <w:rPr>
          <w:rFonts w:ascii="Liberation Serif" w:hAnsi="Liberation Serif"/>
          <w:sz w:val="26"/>
        </w:rPr>
      </w:pPr>
    </w:p>
    <w:p w14:paraId="0E000000">
      <w:pPr>
        <w:pStyle w:val="Style_2"/>
        <w:spacing w:line="228" w:lineRule="auto"/>
        <w:ind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>Начальник Управления                                                                           Л.А. Копытова</w:t>
      </w:r>
    </w:p>
    <w:p w14:paraId="0F000000">
      <w:pPr>
        <w:pStyle w:val="Style_2"/>
        <w:spacing w:line="228" w:lineRule="auto"/>
        <w:ind w:firstLine="0" w:left="5387"/>
        <w:jc w:val="both"/>
        <w:rPr>
          <w:rFonts w:ascii="Liberation Serif" w:hAnsi="Liberation Serif"/>
          <w:sz w:val="28"/>
        </w:rPr>
      </w:pPr>
    </w:p>
    <w:p w14:paraId="10000000">
      <w:pPr>
        <w:pStyle w:val="Style_2"/>
        <w:spacing w:line="228" w:lineRule="auto"/>
        <w:ind w:firstLine="0" w:left="5387"/>
        <w:jc w:val="both"/>
        <w:rPr>
          <w:rFonts w:ascii="Liberation Serif" w:hAnsi="Liberation Serif"/>
          <w:sz w:val="28"/>
        </w:rPr>
      </w:pPr>
    </w:p>
    <w:p w14:paraId="11000000">
      <w:pPr>
        <w:sectPr>
          <w:type w:val="nextPage"/>
          <w:pgSz w:h="16838" w:orient="portrait" w:w="11906"/>
          <w:pgMar w:bottom="1134" w:footer="0" w:gutter="0" w:header="0" w:left="1418" w:right="567" w:top="1134"/>
          <w:pgNumType w:fmt="decimal"/>
        </w:sectPr>
      </w:pPr>
    </w:p>
    <w:p w14:paraId="12000000">
      <w:pPr>
        <w:pStyle w:val="Style_2"/>
        <w:spacing w:line="228" w:lineRule="auto"/>
        <w:ind w:firstLine="0" w:left="538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УТВЕРЖДЕНО</w:t>
      </w:r>
    </w:p>
    <w:p w14:paraId="13000000">
      <w:pPr>
        <w:pStyle w:val="Style_2"/>
        <w:spacing w:line="228" w:lineRule="auto"/>
        <w:ind w:firstLine="0" w:left="538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приказом территориального отраслевого</w:t>
      </w:r>
    </w:p>
    <w:p w14:paraId="14000000">
      <w:pPr>
        <w:pStyle w:val="Style_2"/>
        <w:spacing w:line="228" w:lineRule="auto"/>
        <w:ind w:firstLine="0" w:left="538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исполнительного органа власти Свердловской области — Управления социальной политики Министерства социальной политики Свердловской области № 10</w:t>
      </w:r>
    </w:p>
    <w:p w14:paraId="15000000">
      <w:pPr>
        <w:pStyle w:val="Style_2"/>
        <w:spacing w:line="228" w:lineRule="auto"/>
        <w:ind w:firstLine="0" w:left="538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от </w:t>
      </w:r>
      <w:r>
        <w:rPr>
          <w:rFonts w:ascii="Liberation Serif" w:hAnsi="Liberation Serif"/>
          <w:u w:val="none"/>
        </w:rPr>
        <w:t>7 октября</w:t>
      </w:r>
      <w:r>
        <w:rPr>
          <w:rFonts w:ascii="Liberation Serif" w:hAnsi="Liberation Serif"/>
        </w:rPr>
        <w:t xml:space="preserve"> 2024 года № </w:t>
      </w:r>
      <w:r>
        <w:rPr>
          <w:rFonts w:ascii="Liberation Serif" w:hAnsi="Liberation Serif"/>
          <w:u w:val="none"/>
        </w:rPr>
        <w:t>1883</w:t>
      </w:r>
    </w:p>
    <w:p w14:paraId="16000000">
      <w:pPr>
        <w:pStyle w:val="Style_2"/>
        <w:spacing w:line="228" w:lineRule="auto"/>
        <w:ind w:firstLine="0" w:left="538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«Об утверждении перечня коррупционно-опасных функций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10»</w:t>
      </w:r>
    </w:p>
    <w:p w14:paraId="17000000">
      <w:pPr>
        <w:pStyle w:val="Style_2"/>
        <w:spacing w:line="228" w:lineRule="auto"/>
        <w:ind w:firstLine="0" w:left="4956"/>
        <w:jc w:val="both"/>
      </w:pPr>
    </w:p>
    <w:p w14:paraId="18000000">
      <w:pPr>
        <w:pStyle w:val="Style_2"/>
        <w:spacing w:line="228" w:lineRule="auto"/>
        <w:ind/>
        <w:jc w:val="center"/>
        <w:rPr>
          <w:rFonts w:ascii="Liberation Serif" w:hAnsi="Liberation Serif"/>
          <w:b w:val="1"/>
          <w:sz w:val="26"/>
        </w:rPr>
      </w:pPr>
    </w:p>
    <w:p w14:paraId="19000000">
      <w:pPr>
        <w:pStyle w:val="Style_2"/>
        <w:spacing w:line="228" w:lineRule="auto"/>
        <w:ind/>
        <w:jc w:val="center"/>
        <w:rPr>
          <w:rFonts w:ascii="Liberation Serif" w:hAnsi="Liberation Serif"/>
          <w:b w:val="1"/>
          <w:sz w:val="26"/>
        </w:rPr>
      </w:pPr>
      <w:r>
        <w:rPr>
          <w:rFonts w:ascii="Liberation Serif" w:hAnsi="Liberation Serif"/>
          <w:b w:val="1"/>
          <w:sz w:val="26"/>
        </w:rPr>
        <w:t>ПЕРЕЧЕНЬ</w:t>
      </w:r>
    </w:p>
    <w:p w14:paraId="1A000000">
      <w:pPr>
        <w:pStyle w:val="Style_2"/>
        <w:ind/>
        <w:jc w:val="center"/>
        <w:rPr>
          <w:rFonts w:ascii="Liberation Serif" w:hAnsi="Liberation Serif"/>
          <w:b w:val="1"/>
          <w:sz w:val="26"/>
        </w:rPr>
      </w:pPr>
      <w:r>
        <w:rPr>
          <w:rFonts w:ascii="Liberation Serif" w:hAnsi="Liberation Serif"/>
          <w:b w:val="1"/>
          <w:sz w:val="26"/>
        </w:rPr>
        <w:t>коррупционно-опасных функций</w:t>
      </w:r>
    </w:p>
    <w:p w14:paraId="1B000000">
      <w:pPr>
        <w:pStyle w:val="Style_2"/>
        <w:ind/>
        <w:jc w:val="center"/>
        <w:rPr>
          <w:rFonts w:ascii="Liberation Serif" w:hAnsi="Liberation Serif"/>
          <w:b w:val="1"/>
          <w:sz w:val="26"/>
        </w:rPr>
      </w:pPr>
      <w:r>
        <w:rPr>
          <w:rFonts w:ascii="Liberation Serif" w:hAnsi="Liberation Serif"/>
          <w:b w:val="1"/>
          <w:sz w:val="26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</w:t>
      </w:r>
    </w:p>
    <w:p w14:paraId="1C000000">
      <w:pPr>
        <w:pStyle w:val="Style_2"/>
        <w:rPr>
          <w:sz w:val="26"/>
        </w:rPr>
      </w:pPr>
    </w:p>
    <w:p w14:paraId="1D000000">
      <w:pPr>
        <w:pStyle w:val="Style_4"/>
        <w:ind w:firstLine="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>1. Осуществление функций представителя власти или организационно-расп</w:t>
      </w:r>
      <w:r>
        <w:rPr>
          <w:rFonts w:ascii="Liberation Serif" w:hAnsi="Liberation Serif"/>
          <w:color w:val="000000"/>
          <w:sz w:val="28"/>
        </w:rPr>
        <w:t>орядительных или административно-хозяйственных функций;</w:t>
      </w:r>
    </w:p>
    <w:p w14:paraId="1E000000">
      <w:pPr>
        <w:pStyle w:val="Style_4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2. Организация и осуществление закупок товаров, работ, услуг для нужд Управления социальной политики № 10;</w:t>
      </w:r>
    </w:p>
    <w:p w14:paraId="1F000000">
      <w:pPr>
        <w:pStyle w:val="Style_4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3. Осуществление функций получателя средств областного бюджета, установленных бюджетным законодательством Российской Федерации;</w:t>
      </w:r>
    </w:p>
    <w:p w14:paraId="20000000">
      <w:pPr>
        <w:pStyle w:val="Style_2"/>
        <w:tabs>
          <w:tab w:leader="none" w:pos="709" w:val="clear"/>
          <w:tab w:leader="none" w:pos="993" w:val="left"/>
        </w:tabs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4. Подготовка и принятие решений о возврате или зачете излишне выплаченных или излишне взысканных сумм социальных выплат и компенсаций;</w:t>
      </w:r>
    </w:p>
    <w:p w14:paraId="21000000">
      <w:pPr>
        <w:pStyle w:val="Style_2"/>
        <w:widowControl w:val="1"/>
        <w:tabs>
          <w:tab w:leader="none" w:pos="709" w:val="clear"/>
          <w:tab w:leader="none" w:pos="993" w:val="left"/>
        </w:tabs>
        <w:spacing w:after="0" w:before="0" w:line="228" w:lineRule="auto"/>
        <w:ind w:firstLine="737" w:left="0" w:right="0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5. Осуществление функций по опеке и попечительству, в том числе:</w:t>
      </w:r>
    </w:p>
    <w:p w14:paraId="22000000">
      <w:pPr>
        <w:pStyle w:val="Style_2"/>
        <w:widowControl w:val="1"/>
        <w:spacing w:after="0" w:before="0" w:line="228" w:lineRule="auto"/>
        <w:ind w:firstLine="737" w:left="0" w:right="0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1) установление опеки или попечительства;</w:t>
      </w:r>
    </w:p>
    <w:p w14:paraId="23000000">
      <w:pPr>
        <w:pStyle w:val="Style_2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2)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14:paraId="24000000">
      <w:pPr>
        <w:pStyle w:val="Style_2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3) заключение договоров доверительного управления имуществом подопечных, в том числе безвестно отсутствующих;</w:t>
      </w:r>
    </w:p>
    <w:p w14:paraId="25000000">
      <w:pPr>
        <w:pStyle w:val="Style_2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4) проведение плановых и внеплановых проверок условий жизни несовершеннолетних подопечных, совершеннолетних недееспособных или не полностью дееспособных граждан, соблюдения опекунами или попечителями прав и законных интересов подопечных, обеспечения сохранности их имущества, а также выполнения опекунами или попечителями требований к осуществлению своих прав и исполнению своих обязанностей;</w:t>
      </w:r>
    </w:p>
    <w:p w14:paraId="26000000">
      <w:pPr>
        <w:pStyle w:val="Style_2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5) выдача предварительного разрешения по распоряжению доходами, имуществом подопечного;</w:t>
      </w:r>
    </w:p>
    <w:p w14:paraId="27000000">
      <w:pPr>
        <w:pStyle w:val="Style_2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6) 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14:paraId="28000000">
      <w:pPr>
        <w:pStyle w:val="Style_2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7) подготовка и выдача заключения об обоснованности усыновления и его соответствии интересам усыновляемого ребенка (о возможности гражданина быть усыновителем или опекуном (попечителем));</w:t>
      </w:r>
    </w:p>
    <w:p w14:paraId="29000000">
      <w:pPr>
        <w:pStyle w:val="Style_2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8) разрешение разногласий, возникающих между родителями несовершеннолетних детей, опекуном ребенка и несовершеннолетними родителями;</w:t>
      </w:r>
    </w:p>
    <w:p w14:paraId="2A000000">
      <w:pPr>
        <w:pStyle w:val="Style_2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9) контроль за исполнением помощником совершеннолетнего дееспособного гражданина своих обязанностей;</w:t>
      </w:r>
    </w:p>
    <w:p w14:paraId="2B000000">
      <w:pPr>
        <w:pStyle w:val="Style_2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10) 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14:paraId="2C000000">
      <w:pPr>
        <w:pStyle w:val="Style_2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11) выдача разрешений на совершение сделок с имуществом подопечных;</w:t>
      </w:r>
    </w:p>
    <w:p w14:paraId="2D000000">
      <w:pPr>
        <w:pStyle w:val="Style_2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12)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ими; 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14:paraId="2E000000">
      <w:pPr>
        <w:pStyle w:val="Style_2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 xml:space="preserve">13) 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 лет, которые подлежат обеспечению жилыми помещениями государственного специализированного жилищного фонда Свердловской области (далее – список), в том числе </w:t>
      </w:r>
    </w:p>
    <w:p w14:paraId="2F000000">
      <w:pPr>
        <w:pStyle w:val="Style_2"/>
        <w:spacing w:line="228" w:lineRule="auto"/>
        <w:ind w:firstLine="0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ab/>
      </w:r>
      <w:r>
        <w:rPr>
          <w:rFonts w:ascii="Liberation Serif" w:hAnsi="Liberation Serif"/>
          <w:color w:val="000000"/>
          <w:sz w:val="28"/>
        </w:rPr>
        <w:t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являются;</w:t>
      </w:r>
    </w:p>
    <w:p w14:paraId="30000000">
      <w:pPr>
        <w:pStyle w:val="Style_2"/>
        <w:spacing w:line="228" w:lineRule="auto"/>
        <w:ind w:firstLine="0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ab/>
      </w:r>
      <w:r>
        <w:rPr>
          <w:rFonts w:ascii="Liberation Serif" w:hAnsi="Liberation Serif"/>
          <w:color w:val="000000"/>
          <w:sz w:val="28"/>
        </w:rPr>
        <w:t>принятие решения по результатам рассмотрения заявления о включении в список детей-сирот;</w:t>
      </w:r>
    </w:p>
    <w:p w14:paraId="31000000">
      <w:pPr>
        <w:pStyle w:val="Style_2"/>
        <w:spacing w:line="228" w:lineRule="auto"/>
        <w:ind w:firstLine="0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ab/>
      </w:r>
      <w:r>
        <w:rPr>
          <w:rFonts w:ascii="Liberation Serif" w:hAnsi="Liberation Serif"/>
          <w:color w:val="000000"/>
          <w:sz w:val="28"/>
        </w:rPr>
        <w:t>принятие решения по результатам рассмотрения заявления об исключении из списка детей-сирот по прежнему месту жительства и включении детей-сирот и 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14:paraId="32000000">
      <w:pPr>
        <w:pStyle w:val="Style_2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 лет, оснований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14:paraId="33000000">
      <w:pPr>
        <w:pStyle w:val="Style_2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14) формирование, ведение и предоставление гражданам сведений регионального банка о детях, оставшихся без попечения родителей, для передачи их на воспитание в семьи граждан;</w:t>
      </w:r>
    </w:p>
    <w:p w14:paraId="34000000">
      <w:pPr>
        <w:pStyle w:val="Style_2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15) иные функции, при осуществлении которых возможно возникновение конфликта интересов.</w:t>
      </w:r>
    </w:p>
    <w:p w14:paraId="35000000">
      <w:pPr>
        <w:pStyle w:val="Style_2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6. 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14:paraId="36000000">
      <w:pPr>
        <w:pStyle w:val="Style_2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 xml:space="preserve">7. Осуществление функций по предоставлению государственных услуг гражданам и организациям, в том числе: </w:t>
      </w:r>
    </w:p>
    <w:p w14:paraId="37000000">
      <w:pPr>
        <w:pStyle w:val="Style_2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1) осуществление функций по предоставлению мер социальной поддержки гражданам в соответствии с законодательством Российской Федерации и законодательством Свердловской области, в том числе:</w:t>
      </w:r>
    </w:p>
    <w:p w14:paraId="38000000">
      <w:pPr>
        <w:pStyle w:val="Style_2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рассмотрение заявлений, принятие решений о назначении (предоставлении) мер социальной поддержки (социальных гарантий, социальных выплат и компенсаций), их выплате (организация выплаты) либо решений об отказе в назначении (предоставлении, выплате) мер социальной поддержки (социальных гарантий, социальных выплат и компенсаций) в соответствии с законодательством Российской Федерации и законодательством Свердловской области;</w:t>
      </w:r>
    </w:p>
    <w:p w14:paraId="39000000">
      <w:pPr>
        <w:pStyle w:val="Style_2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рассмотрение заявлений о назначении государственной социальной помощи на основании социального контракта и принятие мотивированных решений о назначении либо об отказе в назначении государственной социальной помощи на основании социального контракта;</w:t>
      </w:r>
    </w:p>
    <w:p w14:paraId="3A000000">
      <w:pPr>
        <w:pStyle w:val="Style_2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формирование сведений для выплаты мер социальной поддержки (социальных гарантий, социальных выплат, социальной помощи и компенсаций);</w:t>
      </w:r>
    </w:p>
    <w:p w14:paraId="3B000000">
      <w:pPr>
        <w:pStyle w:val="Style_2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формирование и ведение реестра категорий граждан, имеющих право на получение мер социальной поддержки (социальных гарантий, социальных выплат, социальной помощи и компенсаций);</w:t>
      </w:r>
    </w:p>
    <w:p w14:paraId="3C000000">
      <w:pPr>
        <w:pStyle w:val="Style_2"/>
        <w:widowControl w:val="1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2) постановка на учет и обеспечение отдельных категорий граждан бесплатными путевками на санаторно-курортное лечение, отдельных категорий детей, находящихся в трудной жизненной ситуации, путевками в организации отдыха детей и их оздоровления;</w:t>
      </w:r>
    </w:p>
    <w:p w14:paraId="3D000000">
      <w:pPr>
        <w:pStyle w:val="Style_2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3) рассмотрение заявления и документов, подтверждающих нуждаемость гражданина в социальном обслуживании, принятие решения о признании гражданина нуждающимся в социальном обслуживании, 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составление индивидуальных программ предоставления социальных услуг, участие в составлении индивидуальных программ реабилитации, абилитации инвалидов, определение перечня рекомендуемых поставщиков социальных услуг;</w:t>
      </w:r>
    </w:p>
    <w:p w14:paraId="3E000000">
      <w:pPr>
        <w:pStyle w:val="Style_4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4) проверка документов и принятие решений о выдаче или об отказе в выдаче сертификатов на областной материнский (семейный) капитал, рассмотрение заявлений о распоряжении средствами (частью средств) областного материнского (семейного) капитала и принятие решения об удовлетворении или об отказе в удовлетворении заявления о распоряжении средствами (частью средств) областного материнского (семейного) капитала, ведение реестра лиц, которым предоставляется областной материнский (семейный) капитал;</w:t>
      </w:r>
    </w:p>
    <w:p w14:paraId="3F000000">
      <w:pPr>
        <w:pStyle w:val="Style_2"/>
        <w:widowControl w:val="1"/>
        <w:spacing w:line="228" w:lineRule="auto"/>
        <w:ind w:firstLine="709"/>
        <w:jc w:val="both"/>
        <w:rPr>
          <w:color w:val="000000"/>
          <w:sz w:val="28"/>
        </w:rPr>
      </w:pPr>
      <w:r>
        <w:rPr>
          <w:sz w:val="28"/>
        </w:rPr>
        <w:t>5) проверка документов и принятие решений об оформлении и выдаче</w:t>
      </w:r>
      <w:r>
        <w:rPr>
          <w:color w:val="000000"/>
          <w:sz w:val="28"/>
        </w:rPr>
        <w:t xml:space="preserve"> или об отказе в </w:t>
      </w:r>
      <w:r>
        <w:rPr>
          <w:sz w:val="28"/>
        </w:rPr>
        <w:t>оформлении и выдаче специальных удостоверений</w:t>
      </w:r>
      <w:r>
        <w:rPr>
          <w:sz w:val="28"/>
        </w:rPr>
        <w:t xml:space="preserve"> отдельным категориям граждан </w:t>
      </w:r>
      <w:r>
        <w:rPr>
          <w:color w:val="000000"/>
          <w:sz w:val="28"/>
        </w:rPr>
        <w:t>о праве на меры социальной поддержки;</w:t>
      </w:r>
    </w:p>
    <w:p w14:paraId="40000000">
      <w:pPr>
        <w:pStyle w:val="Style_2"/>
        <w:widowControl w:val="1"/>
        <w:spacing w:line="228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6) </w:t>
      </w:r>
      <w:r>
        <w:rPr>
          <w:sz w:val="28"/>
        </w:rPr>
        <w:t>проверка документов и принятие решений о включении граждан в списки для награждения знаком отличия Свердловской области «Материнская доблесть» и знаком отличия Свердловской области «Совет да Любовь», для присвоения звания «Ветеран труда», «Ветеран труда Свердловской области», иными наградами и знаками отличия, дающими право на предоставление мер социальной поддержки;</w:t>
      </w:r>
    </w:p>
    <w:p w14:paraId="41000000">
      <w:pPr>
        <w:pStyle w:val="Style_2"/>
        <w:tabs>
          <w:tab w:leader="none" w:pos="0" w:val="left"/>
          <w:tab w:leader="none" w:pos="709" w:val="clear"/>
        </w:tabs>
        <w:spacing w:line="228" w:lineRule="auto"/>
        <w:ind w:firstLine="709"/>
        <w:jc w:val="both"/>
        <w:rPr>
          <w:sz w:val="28"/>
        </w:rPr>
      </w:pPr>
      <w:r>
        <w:rPr>
          <w:sz w:val="28"/>
        </w:rPr>
        <w:t>7) осуществление сверки и формирование списка обучающихся в общеобразовательных организациях из многодетных семей Свердловской области, имеющих право на междугородний проезд;</w:t>
      </w:r>
    </w:p>
    <w:p w14:paraId="42000000">
      <w:pPr>
        <w:pStyle w:val="Style_2"/>
        <w:tabs>
          <w:tab w:leader="none" w:pos="0" w:val="left"/>
          <w:tab w:leader="none" w:pos="709" w:val="clear"/>
        </w:tabs>
        <w:spacing w:line="228" w:lineRule="auto"/>
        <w:ind w:firstLine="709"/>
        <w:jc w:val="both"/>
        <w:rPr>
          <w:sz w:val="28"/>
        </w:rPr>
      </w:pPr>
      <w:r>
        <w:rPr>
          <w:sz w:val="28"/>
        </w:rPr>
        <w:t xml:space="preserve">8) рассмотрение документов и принятие решения о выдаче или об отказе в выдаче </w:t>
      </w:r>
      <w:r>
        <w:rPr>
          <w:sz w:val="28"/>
        </w:rPr>
        <w:t>справок, удостоверяющих право на предоставление мер социальной поддержки в случаях, установленных законодательством Свердловской области (на право бесплатного проезда по территории Свердловской области на автомобильном транспорте общего пользования (кроме такси) в междугородном сообщении, о среднедушевом доходе семьи и иные);</w:t>
      </w:r>
    </w:p>
    <w:p w14:paraId="43000000">
      <w:pPr>
        <w:pStyle w:val="Style_2"/>
        <w:spacing w:line="228" w:lineRule="auto"/>
        <w:ind w:firstLine="709"/>
        <w:jc w:val="both"/>
        <w:rPr>
          <w:sz w:val="28"/>
        </w:rPr>
      </w:pPr>
      <w:r>
        <w:rPr>
          <w:sz w:val="28"/>
        </w:rPr>
        <w:t xml:space="preserve">8. Контроль за осуществлением органами местного самоуправления муниципальных образований, расположенных на территории Свердловской области подведомственной Управлению социальной политики № 10, переданных им государственных полномочий по предоставлению субсидий и компенсаций расходов на оплату жилого помещения и коммунальных услуг, </w:t>
      </w:r>
      <w:r>
        <w:rPr>
          <w:sz w:val="28"/>
        </w:rPr>
        <w:t xml:space="preserve">в форме проверок, в том числе выборочных, соблюдения порядка предоставления субсидий </w:t>
      </w:r>
      <w:r>
        <w:rPr>
          <w:sz w:val="28"/>
        </w:rPr>
        <w:t xml:space="preserve">и компенсаций расходов </w:t>
      </w:r>
      <w:r>
        <w:rPr>
          <w:sz w:val="28"/>
        </w:rPr>
        <w:t xml:space="preserve">на оплату жилого помещения и коммунальных услуг, в том числе проверок, проводимых в связи с обращениями граждан или организаций, обоснованности предоставления гражданам субсидий </w:t>
      </w:r>
      <w:r>
        <w:rPr>
          <w:sz w:val="28"/>
        </w:rPr>
        <w:t xml:space="preserve">и компенсаций расходов </w:t>
      </w:r>
      <w:r>
        <w:rPr>
          <w:sz w:val="28"/>
        </w:rPr>
        <w:t xml:space="preserve">на оплату жилого помещения и коммунальных услуг, а также обоснованности произведенных расходов на оплату услуг по доставке этих субсидий </w:t>
      </w:r>
      <w:r>
        <w:rPr>
          <w:sz w:val="28"/>
        </w:rPr>
        <w:t xml:space="preserve">и компенсаций расходов </w:t>
      </w:r>
      <w:r>
        <w:rPr>
          <w:sz w:val="28"/>
        </w:rPr>
        <w:t>и данных, отраженных в отчетах.</w:t>
      </w:r>
    </w:p>
    <w:p w14:paraId="44000000">
      <w:pPr>
        <w:pStyle w:val="Style_5"/>
        <w:spacing w:line="228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9. Обеспечение защиты информации с применением информационных технологий (информатизации), средств защиты информации, в том числе настройка и сопровождение информационных систем, специального программного обеспечения, обеспечение конфиденциальности информации ограниченного доступа, предотвращение несанкционированного доступа к информации и (или) передачи ее лицам, не имеющим права на доступ к информации.</w:t>
      </w:r>
    </w:p>
    <w:p w14:paraId="45000000">
      <w:pPr>
        <w:pStyle w:val="Style_5"/>
        <w:spacing w:line="228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10. </w:t>
      </w:r>
      <w:r>
        <w:rPr>
          <w:rFonts w:ascii="Liberation Serif" w:hAnsi="Liberation Serif"/>
          <w:sz w:val="28"/>
        </w:rPr>
        <w:t>Формирование электронных баз данных персонифицированного учета граждан, состоящих на учете в Управлении социальной политики № 10;</w:t>
      </w:r>
    </w:p>
    <w:p w14:paraId="46000000">
      <w:pPr>
        <w:pStyle w:val="Style_5"/>
        <w:spacing w:line="228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11. Участие в формировании сведений для ведения реестра поставщиков социальных услуг и регистра получателей социальных услуг.</w:t>
      </w:r>
      <w:r>
        <w:rPr>
          <w:rFonts w:ascii="Liberation Serif" w:hAnsi="Liberation Serif"/>
        </w:rPr>
        <w:t xml:space="preserve"> </w:t>
      </w:r>
    </w:p>
    <w:p w14:paraId="47000000">
      <w:pPr>
        <w:pStyle w:val="Style_5"/>
        <w:tabs>
          <w:tab w:leader="none" w:pos="709" w:val="clear"/>
          <w:tab w:leader="none" w:pos="1134" w:val="left"/>
        </w:tabs>
        <w:spacing w:line="228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12. </w:t>
      </w:r>
      <w:r>
        <w:rPr>
          <w:rFonts w:ascii="Liberation Serif" w:hAnsi="Liberation Serif"/>
          <w:sz w:val="28"/>
        </w:rPr>
        <w:t>Осуществление деятельности, связанной с движением нефинансовых активов и бланков строгой отчетности (учет, поступление, внутреннее перемещение, выбытие основных средств, контроль за сохранностью).</w:t>
      </w:r>
    </w:p>
    <w:p w14:paraId="48000000">
      <w:pPr>
        <w:pStyle w:val="Style_5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13. </w:t>
      </w:r>
      <w:bookmarkStart w:id="1" w:name="_GoBack1"/>
      <w:r>
        <w:rPr>
          <w:rFonts w:ascii="Liberation Serif" w:hAnsi="Liberation Serif"/>
          <w:color w:val="000000"/>
          <w:sz w:val="28"/>
        </w:rPr>
        <w:t>Представление прав и законных интересов Управления социальной политики № 10 в заседаниях судов общей юрисдикции и арбитражных судов всех уровней в качестве истца или ответчика со всеми правами и обязанностями, предусмотренными процессуальным законодательством Российской Федерации</w:t>
      </w:r>
      <w:bookmarkEnd w:id="1"/>
      <w:r>
        <w:rPr>
          <w:rFonts w:ascii="Liberation Serif" w:hAnsi="Liberation Serif"/>
          <w:color w:val="000000"/>
          <w:sz w:val="28"/>
        </w:rPr>
        <w:t>.</w:t>
      </w:r>
    </w:p>
    <w:p w14:paraId="49000000">
      <w:pPr>
        <w:pStyle w:val="Style_5"/>
        <w:spacing w:line="228" w:lineRule="auto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14. </w:t>
      </w:r>
      <w:r>
        <w:rPr>
          <w:rStyle w:val="Style_6_ch"/>
          <w:rFonts w:ascii="Liberation Serif" w:hAnsi="Liberation Serif"/>
          <w:color w:val="000000"/>
          <w:sz w:val="28"/>
        </w:rPr>
        <w:t>Организация и проведение проверок соблюдения государственными гражданскими служащими Управления требований к служебному поведению, исполнения ими обязанностей, соблюдения запретов и ограничений, установленных в целях противодействия коррупции</w:t>
      </w:r>
    </w:p>
    <w:sectPr>
      <w:headerReference r:id="rId1" w:type="default"/>
      <w:type w:val="nextPage"/>
      <w:pgSz w:h="16838" w:orient="portrait" w:w="11906"/>
      <w:pgMar w:bottom="709" w:footer="0" w:gutter="0" w:header="567" w:left="1418" w:right="56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mirrorMargins/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widowControl w:val="1"/>
      <w:spacing w:after="0" w:before="0"/>
      <w:ind/>
      <w:jc w:val="left"/>
    </w:pPr>
    <w:rPr>
      <w:rFonts w:ascii="Times New Roman" w:hAnsi="Times New Roman"/>
      <w:color w:val="000000"/>
      <w:sz w:val="24"/>
    </w:rPr>
  </w:style>
  <w:style w:default="1" w:styleId="Style_2_ch" w:type="character">
    <w:name w:val="Normal"/>
    <w:link w:val="Style_2"/>
    <w:rPr>
      <w:rFonts w:ascii="Times New Roman" w:hAnsi="Times New Roman"/>
      <w:color w:val="000000"/>
      <w:sz w:val="24"/>
    </w:rPr>
  </w:style>
  <w:style w:styleId="Style_7" w:type="paragraph">
    <w:name w:val="Верхний колонтитул Знак"/>
    <w:link w:val="Style_7_ch"/>
    <w:rPr>
      <w:sz w:val="24"/>
    </w:rPr>
  </w:style>
  <w:style w:styleId="Style_7_ch" w:type="character">
    <w:name w:val="Верхний колонтитул Знак"/>
    <w:link w:val="Style_7"/>
    <w:rPr>
      <w:sz w:val="24"/>
    </w:rPr>
  </w:style>
  <w:style w:styleId="Style_8" w:type="paragraph">
    <w:name w:val="toc 2"/>
    <w:next w:val="Style_2"/>
    <w:link w:val="Style_8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2"/>
    <w:link w:val="Style_9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2"/>
    <w:link w:val="Style_10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2"/>
    <w:link w:val="Style_11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Balloon Text"/>
    <w:basedOn w:val="Style_2"/>
    <w:link w:val="Style_12_ch"/>
    <w:rPr>
      <w:rFonts w:ascii="Tahoma" w:hAnsi="Tahoma"/>
      <w:sz w:val="16"/>
    </w:rPr>
  </w:style>
  <w:style w:styleId="Style_12_ch" w:type="character">
    <w:name w:val="Balloon Text"/>
    <w:basedOn w:val="Style_2_ch"/>
    <w:link w:val="Style_12"/>
    <w:rPr>
      <w:rFonts w:ascii="Tahoma" w:hAnsi="Tahoma"/>
      <w:sz w:val="16"/>
    </w:rPr>
  </w:style>
  <w:style w:styleId="Style_13" w:type="paragraph">
    <w:name w:val="Заголовок"/>
    <w:basedOn w:val="Style_2"/>
    <w:next w:val="Style_14"/>
    <w:link w:val="Style_13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3_ch" w:type="character">
    <w:name w:val="Заголовок"/>
    <w:basedOn w:val="Style_2_ch"/>
    <w:link w:val="Style_13"/>
    <w:rPr>
      <w:rFonts w:ascii="Liberation Sans" w:hAnsi="Liberation Sans"/>
      <w:sz w:val="28"/>
    </w:rPr>
  </w:style>
  <w:style w:styleId="Style_15" w:type="paragraph">
    <w:name w:val="Endnote"/>
    <w:link w:val="Style_15_ch"/>
    <w:pPr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Endnote"/>
    <w:link w:val="Style_15"/>
    <w:rPr>
      <w:rFonts w:ascii="XO Thames" w:hAnsi="XO Thames"/>
      <w:sz w:val="22"/>
    </w:rPr>
  </w:style>
  <w:style w:styleId="Style_16" w:type="paragraph">
    <w:name w:val="heading 3"/>
    <w:next w:val="Style_2"/>
    <w:link w:val="Style_1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6_ch" w:type="character">
    <w:name w:val="heading 3"/>
    <w:link w:val="Style_16"/>
    <w:rPr>
      <w:rFonts w:ascii="XO Thames" w:hAnsi="XO Thames"/>
      <w:b w:val="1"/>
      <w:sz w:val="26"/>
    </w:rPr>
  </w:style>
  <w:style w:styleId="Style_17" w:type="paragraph">
    <w:name w:val="toc 3"/>
    <w:next w:val="Style_2"/>
    <w:link w:val="Style_1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7_ch" w:type="character">
    <w:name w:val="toc 3"/>
    <w:link w:val="Style_17"/>
    <w:rPr>
      <w:rFonts w:ascii="XO Thames" w:hAnsi="XO Thames"/>
      <w:sz w:val="28"/>
    </w:rPr>
  </w:style>
  <w:style w:styleId="Style_14" w:type="paragraph">
    <w:name w:val="Body Text"/>
    <w:basedOn w:val="Style_2"/>
    <w:link w:val="Style_14_ch"/>
    <w:pPr>
      <w:spacing w:after="140" w:before="0" w:line="276" w:lineRule="auto"/>
      <w:ind/>
    </w:pPr>
  </w:style>
  <w:style w:styleId="Style_14_ch" w:type="character">
    <w:name w:val="Body Text"/>
    <w:basedOn w:val="Style_2_ch"/>
    <w:link w:val="Style_14"/>
  </w:style>
  <w:style w:styleId="Style_18" w:type="paragraph">
    <w:name w:val="Нижний колонтитул Знак"/>
    <w:link w:val="Style_18_ch"/>
    <w:rPr>
      <w:sz w:val="24"/>
    </w:rPr>
  </w:style>
  <w:style w:styleId="Style_18_ch" w:type="character">
    <w:name w:val="Нижний колонтитул Знак"/>
    <w:link w:val="Style_18"/>
    <w:rPr>
      <w:sz w:val="24"/>
    </w:rPr>
  </w:style>
  <w:style w:styleId="Style_19" w:type="paragraph">
    <w:name w:val="heading 5"/>
    <w:next w:val="Style_2"/>
    <w:link w:val="Style_1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9_ch" w:type="character">
    <w:name w:val="heading 5"/>
    <w:link w:val="Style_19"/>
    <w:rPr>
      <w:rFonts w:ascii="XO Thames" w:hAnsi="XO Thames"/>
      <w:b w:val="1"/>
      <w:sz w:val="22"/>
    </w:rPr>
  </w:style>
  <w:style w:styleId="Style_5" w:type="paragraph">
    <w:name w:val="Standard"/>
    <w:link w:val="Style_5_ch"/>
    <w:pPr>
      <w:widowControl w:val="1"/>
      <w:spacing w:after="0" w:before="0" w:line="240" w:lineRule="auto"/>
      <w:ind/>
      <w:jc w:val="left"/>
    </w:pPr>
    <w:rPr>
      <w:rFonts w:ascii="Times New Roman" w:hAnsi="Times New Roman"/>
      <w:color w:val="000000"/>
      <w:sz w:val="24"/>
    </w:rPr>
  </w:style>
  <w:style w:styleId="Style_5_ch" w:type="character">
    <w:name w:val="Standard"/>
    <w:link w:val="Style_5"/>
    <w:rPr>
      <w:rFonts w:ascii="Times New Roman" w:hAnsi="Times New Roman"/>
      <w:color w:val="000000"/>
      <w:sz w:val="24"/>
    </w:rPr>
  </w:style>
  <w:style w:styleId="Style_20" w:type="paragraph">
    <w:name w:val="heading 1"/>
    <w:next w:val="Style_2"/>
    <w:link w:val="Style_2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0_ch" w:type="character">
    <w:name w:val="heading 1"/>
    <w:link w:val="Style_20"/>
    <w:rPr>
      <w:rFonts w:ascii="XO Thames" w:hAnsi="XO Thames"/>
      <w:b w:val="1"/>
      <w:sz w:val="32"/>
    </w:rPr>
  </w:style>
  <w:style w:styleId="Style_21" w:type="paragraph">
    <w:name w:val="Указатель"/>
    <w:basedOn w:val="Style_2"/>
    <w:link w:val="Style_21_ch"/>
  </w:style>
  <w:style w:styleId="Style_21_ch" w:type="character">
    <w:name w:val="Указатель"/>
    <w:basedOn w:val="Style_2_ch"/>
    <w:link w:val="Style_21"/>
  </w:style>
  <w:style w:styleId="Style_3" w:type="paragraph">
    <w:name w:val="Hyperlink"/>
    <w:link w:val="Style_3_ch"/>
    <w:rPr>
      <w:color w:val="000080"/>
      <w:u w:val="single"/>
    </w:rPr>
  </w:style>
  <w:style w:styleId="Style_3_ch" w:type="character">
    <w:name w:val="Hyperlink"/>
    <w:link w:val="Style_3"/>
    <w:rPr>
      <w:color w:val="000080"/>
      <w:u w:val="single"/>
    </w:rPr>
  </w:style>
  <w:style w:styleId="Style_22" w:type="paragraph">
    <w:name w:val="Footnote"/>
    <w:link w:val="Style_22_ch"/>
    <w:pPr>
      <w:ind w:firstLine="851" w:left="0"/>
      <w:jc w:val="both"/>
    </w:pPr>
    <w:rPr>
      <w:rFonts w:ascii="XO Thames" w:hAnsi="XO Thames"/>
      <w:sz w:val="22"/>
    </w:rPr>
  </w:style>
  <w:style w:styleId="Style_22_ch" w:type="character">
    <w:name w:val="Footnote"/>
    <w:link w:val="Style_22"/>
    <w:rPr>
      <w:rFonts w:ascii="XO Thames" w:hAnsi="XO Thames"/>
      <w:sz w:val="22"/>
    </w:rPr>
  </w:style>
  <w:style w:styleId="Style_23" w:type="paragraph">
    <w:name w:val="toc 1"/>
    <w:next w:val="Style_2"/>
    <w:link w:val="Style_2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3_ch" w:type="character">
    <w:name w:val="toc 1"/>
    <w:link w:val="Style_23"/>
    <w:rPr>
      <w:rFonts w:ascii="XO Thames" w:hAnsi="XO Thames"/>
      <w:b w:val="1"/>
      <w:sz w:val="28"/>
    </w:rPr>
  </w:style>
  <w:style w:styleId="Style_24" w:type="paragraph">
    <w:name w:val="Header and Footer"/>
    <w:link w:val="Style_24_ch"/>
    <w:pPr>
      <w:spacing w:line="240" w:lineRule="auto"/>
      <w:ind/>
      <w:jc w:val="both"/>
    </w:pPr>
    <w:rPr>
      <w:rFonts w:ascii="XO Thames" w:hAnsi="XO Thames"/>
      <w:sz w:val="28"/>
    </w:rPr>
  </w:style>
  <w:style w:styleId="Style_24_ch" w:type="character">
    <w:name w:val="Header and Footer"/>
    <w:link w:val="Style_24"/>
    <w:rPr>
      <w:rFonts w:ascii="XO Thames" w:hAnsi="XO Thames"/>
      <w:sz w:val="28"/>
    </w:rPr>
  </w:style>
  <w:style w:styleId="Style_25" w:type="paragraph">
    <w:name w:val="ConsPlusTitle"/>
    <w:link w:val="Style_25_ch"/>
    <w:pPr>
      <w:widowControl w:val="0"/>
      <w:spacing w:after="0" w:before="0"/>
      <w:ind/>
      <w:jc w:val="left"/>
    </w:pPr>
    <w:rPr>
      <w:rFonts w:ascii="Calibri" w:hAnsi="Calibri"/>
      <w:b w:val="1"/>
      <w:color w:val="000000"/>
      <w:sz w:val="22"/>
    </w:rPr>
  </w:style>
  <w:style w:styleId="Style_25_ch" w:type="character">
    <w:name w:val="ConsPlusTitle"/>
    <w:link w:val="Style_25"/>
    <w:rPr>
      <w:rFonts w:ascii="Calibri" w:hAnsi="Calibri"/>
      <w:b w:val="1"/>
      <w:color w:val="000000"/>
      <w:sz w:val="22"/>
    </w:rPr>
  </w:style>
  <w:style w:styleId="Style_6" w:type="paragraph">
    <w:name w:val="Основной шрифт абзаца"/>
    <w:link w:val="Style_6_ch"/>
  </w:style>
  <w:style w:styleId="Style_6_ch" w:type="character">
    <w:name w:val="Основной шрифт абзаца"/>
    <w:link w:val="Style_6"/>
  </w:style>
  <w:style w:styleId="Style_26" w:type="paragraph">
    <w:name w:val="toc 9"/>
    <w:next w:val="Style_2"/>
    <w:link w:val="Style_2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6_ch" w:type="character">
    <w:name w:val="toc 9"/>
    <w:link w:val="Style_26"/>
    <w:rPr>
      <w:rFonts w:ascii="XO Thames" w:hAnsi="XO Thames"/>
      <w:sz w:val="28"/>
    </w:rPr>
  </w:style>
  <w:style w:styleId="Style_27" w:type="paragraph">
    <w:name w:val="toc 8"/>
    <w:next w:val="Style_2"/>
    <w:link w:val="Style_2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7_ch" w:type="character">
    <w:name w:val="toc 8"/>
    <w:link w:val="Style_27"/>
    <w:rPr>
      <w:rFonts w:ascii="XO Thames" w:hAnsi="XO Thames"/>
      <w:sz w:val="28"/>
    </w:rPr>
  </w:style>
  <w:style w:styleId="Style_28" w:type="paragraph">
    <w:name w:val="toc 5"/>
    <w:next w:val="Style_2"/>
    <w:link w:val="Style_2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8_ch" w:type="character">
    <w:name w:val="toc 5"/>
    <w:link w:val="Style_28"/>
    <w:rPr>
      <w:rFonts w:ascii="XO Thames" w:hAnsi="XO Thames"/>
      <w:sz w:val="28"/>
    </w:rPr>
  </w:style>
  <w:style w:styleId="Style_29" w:type="paragraph">
    <w:name w:val="List"/>
    <w:basedOn w:val="Style_14"/>
    <w:link w:val="Style_29_ch"/>
  </w:style>
  <w:style w:styleId="Style_29_ch" w:type="character">
    <w:name w:val="List"/>
    <w:basedOn w:val="Style_14_ch"/>
    <w:link w:val="Style_29"/>
  </w:style>
  <w:style w:styleId="Style_30" w:type="paragraph">
    <w:name w:val="Caption"/>
    <w:basedOn w:val="Style_2"/>
    <w:link w:val="Style_30_ch"/>
    <w:pPr>
      <w:spacing w:after="120" w:before="120"/>
      <w:ind/>
    </w:pPr>
    <w:rPr>
      <w:i w:val="1"/>
      <w:sz w:val="24"/>
    </w:rPr>
  </w:style>
  <w:style w:styleId="Style_30_ch" w:type="character">
    <w:name w:val="Caption"/>
    <w:basedOn w:val="Style_2_ch"/>
    <w:link w:val="Style_30"/>
    <w:rPr>
      <w:i w:val="1"/>
      <w:sz w:val="24"/>
    </w:rPr>
  </w:style>
  <w:style w:styleId="Style_4" w:type="paragraph">
    <w:name w:val="ConsPlusNormal"/>
    <w:link w:val="Style_4_ch"/>
    <w:pPr>
      <w:widowControl w:val="0"/>
      <w:spacing w:after="0" w:before="0"/>
      <w:ind/>
      <w:jc w:val="left"/>
    </w:pPr>
    <w:rPr>
      <w:rFonts w:ascii="Calibri" w:hAnsi="Calibri"/>
      <w:color w:val="000000"/>
      <w:sz w:val="22"/>
    </w:rPr>
  </w:style>
  <w:style w:styleId="Style_4_ch" w:type="character">
    <w:name w:val="ConsPlusNormal"/>
    <w:link w:val="Style_4"/>
    <w:rPr>
      <w:rFonts w:ascii="Calibri" w:hAnsi="Calibri"/>
      <w:color w:val="000000"/>
      <w:sz w:val="22"/>
    </w:rPr>
  </w:style>
  <w:style w:styleId="Style_31" w:type="paragraph">
    <w:name w:val="Subtitle"/>
    <w:next w:val="Style_2"/>
    <w:link w:val="Style_3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1_ch" w:type="character">
    <w:name w:val="Subtitle"/>
    <w:link w:val="Style_31"/>
    <w:rPr>
      <w:rFonts w:ascii="XO Thames" w:hAnsi="XO Thames"/>
      <w:i w:val="1"/>
      <w:sz w:val="24"/>
    </w:rPr>
  </w:style>
  <w:style w:styleId="Style_1" w:type="paragraph">
    <w:name w:val="Header"/>
    <w:basedOn w:val="Style_2"/>
    <w:link w:val="Style_1_ch"/>
    <w:pPr>
      <w:tabs>
        <w:tab w:leader="none" w:pos="709" w:val="clear"/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2_ch"/>
    <w:link w:val="Style_1"/>
  </w:style>
  <w:style w:styleId="Style_32" w:type="paragraph">
    <w:name w:val="Default Paragraph Font"/>
    <w:link w:val="Style_32_ch"/>
  </w:style>
  <w:style w:styleId="Style_32_ch" w:type="character">
    <w:name w:val="Default Paragraph Font"/>
    <w:link w:val="Style_32"/>
  </w:style>
  <w:style w:styleId="Style_33" w:type="paragraph">
    <w:name w:val="FollowedHyperlink"/>
    <w:link w:val="Style_33_ch"/>
    <w:rPr>
      <w:color w:val="800000"/>
      <w:u w:val="single"/>
    </w:rPr>
  </w:style>
  <w:style w:styleId="Style_33_ch" w:type="character">
    <w:name w:val="FollowedHyperlink"/>
    <w:link w:val="Style_33"/>
    <w:rPr>
      <w:color w:val="800000"/>
      <w:u w:val="single"/>
    </w:rPr>
  </w:style>
  <w:style w:styleId="Style_34" w:type="paragraph">
    <w:name w:val="Title"/>
    <w:next w:val="Style_2"/>
    <w:link w:val="Style_34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4_ch" w:type="character">
    <w:name w:val="Title"/>
    <w:link w:val="Style_34"/>
    <w:rPr>
      <w:rFonts w:ascii="XO Thames" w:hAnsi="XO Thames"/>
      <w:b w:val="1"/>
      <w:caps w:val="1"/>
      <w:sz w:val="40"/>
    </w:rPr>
  </w:style>
  <w:style w:styleId="Style_35" w:type="paragraph">
    <w:name w:val="heading 4"/>
    <w:next w:val="Style_2"/>
    <w:link w:val="Style_3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5_ch" w:type="character">
    <w:name w:val="heading 4"/>
    <w:link w:val="Style_35"/>
    <w:rPr>
      <w:rFonts w:ascii="XO Thames" w:hAnsi="XO Thames"/>
      <w:b w:val="1"/>
      <w:sz w:val="24"/>
    </w:rPr>
  </w:style>
  <w:style w:styleId="Style_36" w:type="paragraph">
    <w:name w:val="Колонтитул"/>
    <w:basedOn w:val="Style_2"/>
    <w:link w:val="Style_36_ch"/>
  </w:style>
  <w:style w:styleId="Style_36_ch" w:type="character">
    <w:name w:val="Колонтитул"/>
    <w:basedOn w:val="Style_2_ch"/>
    <w:link w:val="Style_36"/>
  </w:style>
  <w:style w:styleId="Style_37" w:type="paragraph">
    <w:name w:val="heading 2"/>
    <w:next w:val="Style_2"/>
    <w:link w:val="Style_37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styleId="Style_38" w:type="paragraph">
    <w:name w:val="Footer"/>
    <w:basedOn w:val="Style_2"/>
    <w:link w:val="Style_38_ch"/>
    <w:pPr>
      <w:tabs>
        <w:tab w:leader="none" w:pos="709" w:val="clear"/>
        <w:tab w:leader="none" w:pos="4677" w:val="center"/>
        <w:tab w:leader="none" w:pos="9355" w:val="right"/>
      </w:tabs>
      <w:ind/>
    </w:pPr>
  </w:style>
  <w:style w:styleId="Style_38_ch" w:type="character">
    <w:name w:val="Footer"/>
    <w:basedOn w:val="Style_2_ch"/>
    <w:link w:val="Style_38"/>
  </w:style>
  <w:style w:default="1" w:styleId="Style_39" w:type="table">
    <w:name w:val="Normal Table"/>
    <w:tblPr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2025-06-27T10:35:25Z</dcterms:modified>
</cp:coreProperties>
</file>