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735" w:rsidRDefault="00A128B7">
      <w:pPr>
        <w:spacing w:after="500" w:line="276" w:lineRule="auto"/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</w:rPr>
        <w:t>Информационная справка о пятом сезоне Международной Премии #МЫВМЕСТЕ</w:t>
      </w:r>
    </w:p>
    <w:p w:rsidR="006B7735" w:rsidRDefault="00A128B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Международная Премия #МЫВМЕСТЕ — флагманский проект мирового сообщества лидеров социальных преобразований. Идею проекта в 2020 году на встрече с Президентом России </w:t>
      </w:r>
      <w:r>
        <w:rPr>
          <w:rFonts w:ascii="Times New Roman" w:hAnsi="Times New Roman" w:cs="Times New Roman"/>
          <w:b/>
          <w:sz w:val="28"/>
        </w:rPr>
        <w:t>Владимиром Путиным</w:t>
      </w:r>
      <w:r>
        <w:rPr>
          <w:rFonts w:ascii="Times New Roman" w:hAnsi="Times New Roman" w:cs="Times New Roman"/>
          <w:sz w:val="28"/>
        </w:rPr>
        <w:t xml:space="preserve"> предложили волонтёры Общероссийского проекта взаимопомощи «МыВместе». Инициатива была поддержана главой государства. С момента запуска Премия развивается по двум трекам — национальному (#МЫВМЕСТЕ) и международному (We are together). </w:t>
      </w:r>
    </w:p>
    <w:p w:rsidR="006B7735" w:rsidRDefault="00A128B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Целью Премии является признание и поддержка лидеров общественно значимых инициатив, направленных на помощь людям и улучшение качества жизни в России и мире. Миссия Премии заключается в укреплении ценностей взаимопомощи и милосердия как нормы жизни.</w:t>
      </w:r>
    </w:p>
    <w:p w:rsidR="006B7735" w:rsidRDefault="00A128B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lang w:val="ru"/>
        </w:rPr>
      </w:pPr>
      <w:r>
        <w:rPr>
          <w:rFonts w:ascii="Times New Roman" w:hAnsi="Times New Roman" w:cs="Times New Roman"/>
          <w:sz w:val="28"/>
        </w:rPr>
        <w:t xml:space="preserve">Учредителем Премии выступает Федеральное агентство по делам молодежи (Росмолодёжи), организатором — экосистема Добро.рф. Оргкомитет Премии возглавляют первый заместитель руководителя Администрации Президента РФ </w:t>
      </w:r>
      <w:r>
        <w:rPr>
          <w:rFonts w:ascii="Times New Roman" w:hAnsi="Times New Roman" w:cs="Times New Roman"/>
          <w:b/>
          <w:sz w:val="28"/>
        </w:rPr>
        <w:t>Сергей Кириенко</w:t>
      </w:r>
      <w:r>
        <w:rPr>
          <w:rFonts w:ascii="Times New Roman" w:hAnsi="Times New Roman" w:cs="Times New Roman"/>
          <w:sz w:val="28"/>
        </w:rPr>
        <w:t xml:space="preserve"> и заместитель Председателя Правительства РФ </w:t>
      </w:r>
      <w:r>
        <w:rPr>
          <w:rFonts w:ascii="Times New Roman" w:hAnsi="Times New Roman" w:cs="Times New Roman"/>
          <w:b/>
          <w:sz w:val="28"/>
        </w:rPr>
        <w:t>Татьяна Голикова</w:t>
      </w:r>
      <w:r>
        <w:rPr>
          <w:rFonts w:ascii="Times New Roman" w:hAnsi="Times New Roman" w:cs="Times New Roman"/>
          <w:sz w:val="28"/>
        </w:rPr>
        <w:t xml:space="preserve">. Председателем Международной дирекции Премии является </w:t>
      </w:r>
      <w:r>
        <w:rPr>
          <w:rFonts w:ascii="Times New Roman" w:hAnsi="Times New Roman" w:cs="Times New Roman"/>
          <w:b/>
          <w:sz w:val="28"/>
        </w:rPr>
        <w:t>Леонид Рошаль</w:t>
      </w:r>
      <w:r>
        <w:rPr>
          <w:rFonts w:ascii="Times New Roman" w:hAnsi="Times New Roman" w:cs="Times New Roman"/>
          <w:sz w:val="28"/>
        </w:rPr>
        <w:t>, президент Союза медицинского сообщества «Национальная Медицинская Палата».</w:t>
      </w:r>
    </w:p>
    <w:p w:rsidR="006B7735" w:rsidRDefault="00A128B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lang w:val="ru"/>
        </w:rPr>
      </w:pPr>
      <w:r>
        <w:rPr>
          <w:rFonts w:ascii="Times New Roman" w:hAnsi="Times New Roman" w:cs="Times New Roman"/>
          <w:sz w:val="28"/>
          <w:lang w:val="ru"/>
        </w:rPr>
        <w:t xml:space="preserve">Ежегодно в Премии принимают участие волонтёры со всей страны, представители бизнеса и некоммерческих организаций, а с 2024 года в ней участвуют также российские регионы и муниципалитеты. В церемонии награждения победителей по сложившейся традиции принимает участие глава государства. </w:t>
      </w:r>
    </w:p>
    <w:p w:rsidR="006B7735" w:rsidRDefault="00A128B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lang w:val="ru"/>
        </w:rPr>
      </w:pPr>
      <w:r>
        <w:rPr>
          <w:rFonts w:ascii="Times New Roman" w:hAnsi="Times New Roman" w:cs="Times New Roman"/>
          <w:sz w:val="28"/>
          <w:lang w:val="ru"/>
        </w:rPr>
        <w:t xml:space="preserve">За четыре сезона в Международной Премии приняли участие более 145 тысяч заявок. В 2024 году Премия проходила с марта по декабрь. В ней приняли участие более 49 тысяч социальных проектов: в национальный трек было подано более 45 тысяч заявок из 89 регионов, из которых 4846 проектов реализуются семьями. В региональный этап Премии в четвертом сезоне прошла 16701 заявка, а победителями регионального этапа стали более 1700 участников. Также были определены топ-1000 участников Премии из всех регионов страны. Победители получили поддержку организаторов и партнеров Премии в развитии своих проектов. </w:t>
      </w:r>
    </w:p>
    <w:p w:rsidR="006B7735" w:rsidRDefault="00A128B7">
      <w:pPr>
        <w:spacing w:after="100" w:line="276" w:lineRule="auto"/>
        <w:ind w:firstLine="567"/>
        <w:jc w:val="both"/>
        <w:rPr>
          <w:rFonts w:ascii="Times New Roman" w:hAnsi="Times New Roman" w:cs="Times New Roman"/>
          <w:sz w:val="28"/>
          <w:lang w:val="ru"/>
        </w:rPr>
      </w:pPr>
      <w:r>
        <w:rPr>
          <w:rFonts w:ascii="Times New Roman" w:hAnsi="Times New Roman" w:cs="Times New Roman"/>
          <w:sz w:val="28"/>
          <w:lang w:val="ru"/>
        </w:rPr>
        <w:t xml:space="preserve">В пятом сезоне Премия будет присуждаться в следующих направлениях:  </w:t>
      </w:r>
    </w:p>
    <w:p w:rsidR="006B7735" w:rsidRDefault="00A128B7">
      <w:pPr>
        <w:spacing w:after="100" w:line="276" w:lineRule="auto"/>
        <w:ind w:firstLine="567"/>
        <w:jc w:val="both"/>
        <w:rPr>
          <w:rFonts w:ascii="Times New Roman" w:hAnsi="Times New Roman" w:cs="Times New Roman"/>
          <w:sz w:val="28"/>
          <w:lang w:val="ru"/>
        </w:rPr>
      </w:pPr>
      <w:r>
        <w:rPr>
          <w:rFonts w:ascii="Times New Roman" w:hAnsi="Times New Roman" w:cs="Times New Roman"/>
          <w:b/>
          <w:sz w:val="28"/>
          <w:lang w:val="ru"/>
        </w:rPr>
        <w:t xml:space="preserve">1. </w:t>
      </w:r>
      <w:r>
        <w:rPr>
          <w:rFonts w:ascii="Times New Roman" w:hAnsi="Times New Roman" w:cs="Times New Roman"/>
          <w:b/>
          <w:sz w:val="28"/>
          <w:u w:val="single"/>
          <w:lang w:val="ru"/>
        </w:rPr>
        <w:t>Категория «Личность»</w:t>
      </w:r>
      <w:r>
        <w:rPr>
          <w:rFonts w:ascii="Times New Roman" w:hAnsi="Times New Roman" w:cs="Times New Roman"/>
          <w:b/>
          <w:sz w:val="28"/>
          <w:lang w:val="ru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— </w:t>
      </w:r>
      <w:r>
        <w:rPr>
          <w:rFonts w:ascii="Times New Roman" w:hAnsi="Times New Roman" w:cs="Times New Roman"/>
          <w:sz w:val="28"/>
          <w:lang w:val="ru"/>
        </w:rPr>
        <w:t xml:space="preserve">к участию допускаются граждане РФ старше 18 лет, занимающиеся меценатством, добровольческой или наставнической деятельностью, а также руководители некоммерческих организаций, </w:t>
      </w:r>
      <w:r>
        <w:rPr>
          <w:rFonts w:ascii="Times New Roman" w:hAnsi="Times New Roman" w:cs="Times New Roman"/>
          <w:sz w:val="28"/>
          <w:lang w:val="ru"/>
        </w:rPr>
        <w:lastRenderedPageBreak/>
        <w:t>развивающие социальные инициативы, благотворительные и волонтерские программы, координирующие социальные проекты.</w:t>
      </w:r>
    </w:p>
    <w:p w:rsidR="006B7735" w:rsidRDefault="00A128B7">
      <w:pPr>
        <w:spacing w:after="100" w:line="276" w:lineRule="auto"/>
        <w:ind w:firstLine="709"/>
        <w:jc w:val="both"/>
        <w:rPr>
          <w:rFonts w:ascii="Times New Roman" w:hAnsi="Times New Roman" w:cs="Times New Roman"/>
          <w:b/>
          <w:i/>
          <w:sz w:val="28"/>
          <w:lang w:val="ru"/>
        </w:rPr>
      </w:pPr>
      <w:r>
        <w:rPr>
          <w:rFonts w:ascii="Times New Roman" w:hAnsi="Times New Roman" w:cs="Times New Roman"/>
          <w:b/>
          <w:i/>
          <w:sz w:val="28"/>
          <w:lang w:val="ru"/>
        </w:rPr>
        <w:t>Номинации категории «Личность»:</w:t>
      </w:r>
    </w:p>
    <w:p w:rsidR="006B7735" w:rsidRDefault="00A128B7">
      <w:pPr>
        <w:pStyle w:val="af9"/>
        <w:numPr>
          <w:ilvl w:val="0"/>
          <w:numId w:val="5"/>
        </w:numPr>
        <w:tabs>
          <w:tab w:val="left" w:pos="567"/>
        </w:tabs>
        <w:spacing w:after="100" w:line="276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lang w:val="ru"/>
        </w:rPr>
      </w:pPr>
      <w:r>
        <w:rPr>
          <w:rFonts w:ascii="Times New Roman" w:hAnsi="Times New Roman" w:cs="Times New Roman"/>
          <w:b/>
          <w:sz w:val="28"/>
          <w:lang w:val="ru"/>
        </w:rPr>
        <w:t>«Волонтёр года»</w:t>
      </w:r>
      <w:r>
        <w:rPr>
          <w:rFonts w:ascii="Times New Roman" w:hAnsi="Times New Roman" w:cs="Times New Roman"/>
          <w:sz w:val="28"/>
          <w:lang w:val="ru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— </w:t>
      </w:r>
      <w:r>
        <w:rPr>
          <w:rFonts w:ascii="Times New Roman" w:hAnsi="Times New Roman" w:cs="Times New Roman"/>
          <w:sz w:val="28"/>
          <w:lang w:val="ru"/>
        </w:rPr>
        <w:t>присуждается за личный вклад в развитие волонтёрского движения в России или общественно значимые поступки, меценатство и помощь людям. Участие в данной номинации допускается только для лиц старше 18 лет.</w:t>
      </w:r>
    </w:p>
    <w:p w:rsidR="006B7735" w:rsidRDefault="00A128B7">
      <w:pPr>
        <w:pStyle w:val="af9"/>
        <w:numPr>
          <w:ilvl w:val="0"/>
          <w:numId w:val="5"/>
        </w:numPr>
        <w:tabs>
          <w:tab w:val="left" w:pos="567"/>
        </w:tabs>
        <w:spacing w:after="100" w:line="276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lang w:val="ru"/>
        </w:rPr>
      </w:pPr>
      <w:r>
        <w:rPr>
          <w:rFonts w:ascii="Times New Roman" w:hAnsi="Times New Roman" w:cs="Times New Roman"/>
          <w:sz w:val="28"/>
          <w:lang w:val="ru"/>
        </w:rPr>
        <w:t>«</w:t>
      </w:r>
      <w:r>
        <w:rPr>
          <w:rFonts w:ascii="Times New Roman" w:hAnsi="Times New Roman" w:cs="Times New Roman"/>
          <w:b/>
          <w:sz w:val="28"/>
          <w:lang w:val="ru"/>
        </w:rPr>
        <w:t>Наставник года»</w:t>
      </w:r>
      <w:r>
        <w:rPr>
          <w:rFonts w:ascii="Times New Roman" w:hAnsi="Times New Roman" w:cs="Times New Roman"/>
          <w:sz w:val="28"/>
          <w:lang w:val="ru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— </w:t>
      </w:r>
      <w:r>
        <w:rPr>
          <w:rFonts w:ascii="Times New Roman" w:hAnsi="Times New Roman" w:cs="Times New Roman"/>
          <w:sz w:val="28"/>
          <w:lang w:val="ru"/>
        </w:rPr>
        <w:t xml:space="preserve">присуждается за выдающиеся достижения в сфере наставничества. Участие в данной номинации возможно только для лиц, достигших 25-летнего возраста. </w:t>
      </w:r>
    </w:p>
    <w:p w:rsidR="006B7735" w:rsidRDefault="00A128B7">
      <w:pPr>
        <w:pStyle w:val="af9"/>
        <w:numPr>
          <w:ilvl w:val="0"/>
          <w:numId w:val="5"/>
        </w:numPr>
        <w:tabs>
          <w:tab w:val="left" w:pos="567"/>
        </w:tabs>
        <w:spacing w:after="100" w:line="276" w:lineRule="auto"/>
        <w:ind w:left="0" w:firstLine="709"/>
        <w:jc w:val="both"/>
        <w:rPr>
          <w:rFonts w:ascii="Times New Roman" w:hAnsi="Times New Roman" w:cs="Times New Roman"/>
          <w:sz w:val="28"/>
          <w:lang w:val="ru"/>
        </w:rPr>
      </w:pPr>
      <w:r>
        <w:rPr>
          <w:rFonts w:ascii="Times New Roman" w:hAnsi="Times New Roman" w:cs="Times New Roman"/>
          <w:b/>
          <w:sz w:val="28"/>
          <w:lang w:val="ru"/>
        </w:rPr>
        <w:t>«Лидер НКО»</w:t>
      </w:r>
      <w:r>
        <w:rPr>
          <w:rFonts w:ascii="Times New Roman" w:hAnsi="Times New Roman" w:cs="Times New Roman"/>
          <w:sz w:val="28"/>
          <w:lang w:val="ru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— </w:t>
      </w:r>
      <w:r>
        <w:rPr>
          <w:rFonts w:ascii="Times New Roman" w:hAnsi="Times New Roman" w:cs="Times New Roman"/>
          <w:sz w:val="28"/>
          <w:lang w:val="ru"/>
        </w:rPr>
        <w:t>присуждается за выдающиеся достижения в области управления некоммерческой организацией и значительный вклад в развитие гражданского общества.</w:t>
      </w:r>
    </w:p>
    <w:p w:rsidR="006B7735" w:rsidRDefault="00A128B7">
      <w:pPr>
        <w:spacing w:after="100" w:line="276" w:lineRule="auto"/>
        <w:ind w:firstLine="567"/>
        <w:jc w:val="both"/>
        <w:rPr>
          <w:rFonts w:ascii="Times New Roman" w:hAnsi="Times New Roman" w:cs="Times New Roman"/>
          <w:sz w:val="28"/>
          <w:lang w:val="ru"/>
        </w:rPr>
      </w:pPr>
      <w:r>
        <w:rPr>
          <w:rFonts w:ascii="Times New Roman" w:hAnsi="Times New Roman" w:cs="Times New Roman"/>
          <w:b/>
          <w:sz w:val="28"/>
          <w:lang w:val="ru"/>
        </w:rPr>
        <w:t xml:space="preserve">2. </w:t>
      </w:r>
      <w:r>
        <w:rPr>
          <w:rFonts w:ascii="Times New Roman" w:hAnsi="Times New Roman" w:cs="Times New Roman"/>
          <w:b/>
          <w:sz w:val="28"/>
          <w:u w:val="single"/>
          <w:lang w:val="ru"/>
        </w:rPr>
        <w:t>Категория «НКО и проекты»</w:t>
      </w:r>
      <w:r>
        <w:rPr>
          <w:rFonts w:ascii="Times New Roman" w:hAnsi="Times New Roman" w:cs="Times New Roman"/>
          <w:sz w:val="28"/>
          <w:lang w:val="ru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— </w:t>
      </w:r>
      <w:r>
        <w:rPr>
          <w:rFonts w:ascii="Times New Roman" w:hAnsi="Times New Roman" w:cs="Times New Roman"/>
          <w:sz w:val="28"/>
          <w:lang w:val="ru"/>
        </w:rPr>
        <w:t xml:space="preserve"> в ней могут принять участие некоммерческие организации, включая государственные учреждения, и команды граждан (общественные объединения) в возрасте от 14 лет. Они должны реализовывать социально значимый проект, имеющий достигнутые результаты и план развития.</w:t>
      </w:r>
    </w:p>
    <w:p w:rsidR="006B7735" w:rsidRDefault="00A128B7">
      <w:pPr>
        <w:spacing w:after="100" w:line="276" w:lineRule="auto"/>
        <w:ind w:firstLine="567"/>
        <w:jc w:val="both"/>
        <w:rPr>
          <w:rFonts w:ascii="Times New Roman" w:hAnsi="Times New Roman" w:cs="Times New Roman"/>
          <w:b/>
          <w:i/>
          <w:sz w:val="28"/>
          <w:lang w:val="ru"/>
        </w:rPr>
      </w:pPr>
      <w:r>
        <w:rPr>
          <w:rFonts w:ascii="Times New Roman" w:hAnsi="Times New Roman" w:cs="Times New Roman"/>
          <w:b/>
          <w:i/>
          <w:sz w:val="28"/>
          <w:lang w:val="ru"/>
        </w:rPr>
        <w:t>Номинации категории «НКО и проекты»:</w:t>
      </w:r>
    </w:p>
    <w:p w:rsidR="006B7735" w:rsidRDefault="00A128B7">
      <w:pPr>
        <w:pStyle w:val="af9"/>
        <w:numPr>
          <w:ilvl w:val="0"/>
          <w:numId w:val="8"/>
        </w:numPr>
        <w:tabs>
          <w:tab w:val="left" w:pos="567"/>
        </w:tabs>
        <w:spacing w:after="100" w:line="276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lang w:val="ru"/>
        </w:rPr>
      </w:pPr>
      <w:r>
        <w:rPr>
          <w:rFonts w:ascii="Times New Roman" w:hAnsi="Times New Roman" w:cs="Times New Roman"/>
          <w:b/>
          <w:sz w:val="28"/>
          <w:lang w:val="ru"/>
        </w:rPr>
        <w:t>«Устойчивое будущее»</w:t>
      </w:r>
      <w:r>
        <w:rPr>
          <w:rFonts w:ascii="Times New Roman" w:hAnsi="Times New Roman" w:cs="Times New Roman"/>
          <w:sz w:val="28"/>
          <w:lang w:val="ru"/>
        </w:rPr>
        <w:t xml:space="preserve"> —  проекты, направленные на улучшение качества жизни и гармоничное сосуществование человека с природой, предлагающие инновационные решения для защиты экологии, охраны животных и эффективного реагирования на чрезвычайные ситуации, включая технологии мониторинга природных ресурсов и стратегии ответственного туризма (для лиц старше 18 лет).</w:t>
      </w:r>
    </w:p>
    <w:p w:rsidR="006B7735" w:rsidRDefault="00A128B7">
      <w:pPr>
        <w:pStyle w:val="af9"/>
        <w:numPr>
          <w:ilvl w:val="0"/>
          <w:numId w:val="8"/>
        </w:numPr>
        <w:tabs>
          <w:tab w:val="left" w:pos="567"/>
        </w:tabs>
        <w:spacing w:after="100" w:line="276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lang w:val="ru"/>
        </w:rPr>
      </w:pPr>
      <w:r>
        <w:rPr>
          <w:rFonts w:ascii="Times New Roman" w:hAnsi="Times New Roman" w:cs="Times New Roman"/>
          <w:b/>
          <w:sz w:val="28"/>
          <w:lang w:val="ru"/>
        </w:rPr>
        <w:t>«Герои нашего времени»</w:t>
      </w:r>
      <w:r>
        <w:rPr>
          <w:rFonts w:ascii="Times New Roman" w:hAnsi="Times New Roman" w:cs="Times New Roman"/>
          <w:sz w:val="28"/>
          <w:lang w:val="ru"/>
        </w:rPr>
        <w:t xml:space="preserve"> — проекты, нацеленные на активное участие в решении задач специальной военной операции, восприятие и социализацию военнослужащих, а также сохранение памяти о Великой Отечественной войне. В номинации также могут быть представлены мероприятия по поддержке граждан, проживающих на территориях исторических регионов России и в приграничных зонах, оказанию помощи вынужденным переселенцам, а также ветеранам и членам их семей (для лиц старше 18 лет).</w:t>
      </w:r>
    </w:p>
    <w:p w:rsidR="006B7735" w:rsidRDefault="00A128B7">
      <w:pPr>
        <w:pStyle w:val="af9"/>
        <w:numPr>
          <w:ilvl w:val="0"/>
          <w:numId w:val="8"/>
        </w:numPr>
        <w:tabs>
          <w:tab w:val="left" w:pos="567"/>
        </w:tabs>
        <w:spacing w:after="100" w:line="276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lang w:val="ru"/>
        </w:rPr>
      </w:pPr>
      <w:r>
        <w:rPr>
          <w:rFonts w:ascii="Times New Roman" w:hAnsi="Times New Roman" w:cs="Times New Roman"/>
          <w:b/>
          <w:sz w:val="28"/>
          <w:lang w:val="ru"/>
        </w:rPr>
        <w:t>«Поколение добра»</w:t>
      </w:r>
      <w:r>
        <w:rPr>
          <w:rFonts w:ascii="Times New Roman" w:hAnsi="Times New Roman" w:cs="Times New Roman"/>
          <w:sz w:val="28"/>
          <w:lang w:val="ru"/>
        </w:rPr>
        <w:t xml:space="preserve"> — социальные проекты, реализуемые гражданами от 14 до 17 лет.</w:t>
      </w:r>
    </w:p>
    <w:p w:rsidR="006B7735" w:rsidRDefault="00A128B7">
      <w:pPr>
        <w:pStyle w:val="af9"/>
        <w:numPr>
          <w:ilvl w:val="0"/>
          <w:numId w:val="8"/>
        </w:numPr>
        <w:tabs>
          <w:tab w:val="left" w:pos="567"/>
        </w:tabs>
        <w:spacing w:after="100" w:line="276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lang w:val="ru"/>
        </w:rPr>
      </w:pPr>
      <w:r>
        <w:rPr>
          <w:rFonts w:ascii="Times New Roman" w:hAnsi="Times New Roman" w:cs="Times New Roman"/>
          <w:b/>
          <w:sz w:val="28"/>
          <w:lang w:val="ru"/>
        </w:rPr>
        <w:lastRenderedPageBreak/>
        <w:t>«Страна возможностей»</w:t>
      </w:r>
      <w:r>
        <w:rPr>
          <w:rFonts w:ascii="Times New Roman" w:hAnsi="Times New Roman" w:cs="Times New Roman"/>
          <w:sz w:val="28"/>
          <w:lang w:val="ru"/>
        </w:rPr>
        <w:t xml:space="preserve"> — проекты, направленные на раскрытие талантов и воспитание личности, развитие образования, спорта и здорового образа жизни, добровольческого движения, науки, патриотизма, культурных ценностей и традиций, сохранение исторической памяти (для лиц старше 18 лет). </w:t>
      </w:r>
    </w:p>
    <w:p w:rsidR="006B7735" w:rsidRDefault="00A128B7">
      <w:pPr>
        <w:pStyle w:val="af9"/>
        <w:numPr>
          <w:ilvl w:val="0"/>
          <w:numId w:val="8"/>
        </w:numPr>
        <w:tabs>
          <w:tab w:val="left" w:pos="567"/>
        </w:tabs>
        <w:spacing w:after="100" w:line="276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lang w:val="ru"/>
        </w:rPr>
      </w:pPr>
      <w:r>
        <w:rPr>
          <w:rFonts w:ascii="Times New Roman" w:hAnsi="Times New Roman" w:cs="Times New Roman"/>
          <w:b/>
          <w:sz w:val="28"/>
          <w:lang w:val="ru"/>
        </w:rPr>
        <w:t>«Код милосердия»</w:t>
      </w:r>
      <w:r>
        <w:rPr>
          <w:rFonts w:ascii="Times New Roman" w:hAnsi="Times New Roman" w:cs="Times New Roman"/>
          <w:sz w:val="28"/>
          <w:lang w:val="ru"/>
        </w:rPr>
        <w:t xml:space="preserve"> — проекты, направленные на защиту прав человека и заботу о благополучии уязвимых групп населения, способствующие улучшению качества жизни, продвижению здорового образа жизни, охране прав граждан и социальной справедливости, а также охватывающие такие инициативы, как помощь в поиске пропавших людей, поддержка людей с ограниченными возможностями, развитие системы здравоохранения, пропаганда донорства, и оказание помощи пожилым людям (для лиц старше 18 лет).</w:t>
      </w:r>
    </w:p>
    <w:p w:rsidR="006B7735" w:rsidRDefault="00A128B7">
      <w:pPr>
        <w:spacing w:after="100" w:line="276" w:lineRule="auto"/>
        <w:ind w:firstLine="567"/>
        <w:jc w:val="both"/>
        <w:rPr>
          <w:rFonts w:ascii="Times New Roman" w:hAnsi="Times New Roman" w:cs="Times New Roman"/>
          <w:sz w:val="28"/>
          <w:lang w:val="ru"/>
        </w:rPr>
      </w:pPr>
      <w:r>
        <w:rPr>
          <w:rFonts w:ascii="Times New Roman" w:hAnsi="Times New Roman" w:cs="Times New Roman"/>
          <w:b/>
          <w:sz w:val="28"/>
          <w:lang w:val="ru"/>
        </w:rPr>
        <w:t xml:space="preserve">3. </w:t>
      </w:r>
      <w:r>
        <w:rPr>
          <w:rFonts w:ascii="Times New Roman" w:hAnsi="Times New Roman" w:cs="Times New Roman"/>
          <w:b/>
          <w:sz w:val="28"/>
          <w:u w:val="single"/>
          <w:lang w:val="ru"/>
        </w:rPr>
        <w:t>Категория «Компании»</w:t>
      </w:r>
      <w:r>
        <w:rPr>
          <w:rFonts w:ascii="Times New Roman" w:hAnsi="Times New Roman" w:cs="Times New Roman"/>
          <w:sz w:val="28"/>
          <w:lang w:val="ru"/>
        </w:rPr>
        <w:t xml:space="preserve"> — к участию допускаются субъекты малого </w:t>
      </w:r>
      <w:r>
        <w:rPr>
          <w:rFonts w:ascii="Times New Roman" w:hAnsi="Times New Roman" w:cs="Times New Roman"/>
          <w:sz w:val="28"/>
          <w:lang w:val="ru"/>
        </w:rPr>
        <w:br/>
        <w:t xml:space="preserve">и среднего предпринимательства, крупный бизнес, которые реализуют социально полезную </w:t>
      </w:r>
      <w:r>
        <w:rPr>
          <w:rFonts w:ascii="Times New Roman" w:hAnsi="Times New Roman" w:cs="Times New Roman"/>
          <w:b/>
          <w:sz w:val="28"/>
          <w:lang w:val="ru"/>
        </w:rPr>
        <w:t>деятельность</w:t>
      </w:r>
      <w:r>
        <w:rPr>
          <w:rFonts w:ascii="Times New Roman" w:hAnsi="Times New Roman" w:cs="Times New Roman"/>
          <w:sz w:val="28"/>
          <w:lang w:val="ru"/>
        </w:rPr>
        <w:t xml:space="preserve">, добровольческие (волонтерские) проекты и мероприятия в рамках программ корпоративной социальной ответственности и устойчивого развития, имеющие достигнутые результаты и планы развития. </w:t>
      </w:r>
    </w:p>
    <w:p w:rsidR="006B7735" w:rsidRDefault="00A128B7">
      <w:pPr>
        <w:spacing w:after="100" w:line="276" w:lineRule="auto"/>
        <w:ind w:firstLine="567"/>
        <w:jc w:val="both"/>
        <w:rPr>
          <w:rFonts w:ascii="Times New Roman" w:hAnsi="Times New Roman" w:cs="Times New Roman"/>
          <w:sz w:val="28"/>
          <w:lang w:val="ru"/>
        </w:rPr>
      </w:pPr>
      <w:r>
        <w:rPr>
          <w:rFonts w:ascii="Times New Roman" w:hAnsi="Times New Roman" w:cs="Times New Roman"/>
          <w:b/>
          <w:i/>
          <w:sz w:val="28"/>
          <w:lang w:val="ru"/>
        </w:rPr>
        <w:t xml:space="preserve">Номинации категории «Компании»: </w:t>
      </w:r>
    </w:p>
    <w:p w:rsidR="006B7735" w:rsidRDefault="00A128B7">
      <w:pPr>
        <w:pStyle w:val="af9"/>
        <w:numPr>
          <w:ilvl w:val="0"/>
          <w:numId w:val="7"/>
        </w:numPr>
        <w:tabs>
          <w:tab w:val="left" w:pos="567"/>
        </w:tabs>
        <w:spacing w:after="100" w:line="276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lang w:val="ru"/>
        </w:rPr>
      </w:pPr>
      <w:r>
        <w:rPr>
          <w:rFonts w:ascii="Times New Roman" w:hAnsi="Times New Roman" w:cs="Times New Roman"/>
          <w:b/>
          <w:sz w:val="28"/>
          <w:lang w:val="ru"/>
        </w:rPr>
        <w:t>«Лидер социальных изменений. Крупный бизнес»</w:t>
      </w:r>
      <w:r>
        <w:rPr>
          <w:rFonts w:ascii="Times New Roman" w:hAnsi="Times New Roman" w:cs="Times New Roman"/>
          <w:sz w:val="28"/>
          <w:lang w:val="ru"/>
        </w:rPr>
        <w:t xml:space="preserve"> — присуждается за социально значимые проекты, реализуемые крупным бизнесом.</w:t>
      </w:r>
    </w:p>
    <w:p w:rsidR="006B7735" w:rsidRDefault="00A128B7">
      <w:pPr>
        <w:pStyle w:val="af9"/>
        <w:numPr>
          <w:ilvl w:val="0"/>
          <w:numId w:val="7"/>
        </w:numPr>
        <w:tabs>
          <w:tab w:val="left" w:pos="567"/>
        </w:tabs>
        <w:spacing w:after="100" w:line="276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lang w:val="ru"/>
        </w:rPr>
      </w:pPr>
      <w:r>
        <w:rPr>
          <w:rFonts w:ascii="Times New Roman" w:hAnsi="Times New Roman" w:cs="Times New Roman"/>
          <w:b/>
          <w:sz w:val="28"/>
          <w:lang w:val="ru"/>
        </w:rPr>
        <w:t>«Лидер социальных изменений. МСП»</w:t>
      </w:r>
      <w:r>
        <w:rPr>
          <w:rFonts w:ascii="Times New Roman" w:hAnsi="Times New Roman" w:cs="Times New Roman"/>
          <w:sz w:val="28"/>
          <w:lang w:val="ru"/>
        </w:rPr>
        <w:t xml:space="preserve"> — присуждается за социально значимые проекты, реализуемые малыми и средними предпринимателями, а также предприятиями с социальным статусом.</w:t>
      </w:r>
    </w:p>
    <w:p w:rsidR="006B7735" w:rsidRDefault="00A128B7">
      <w:pPr>
        <w:tabs>
          <w:tab w:val="left" w:pos="567"/>
        </w:tabs>
        <w:spacing w:after="100" w:line="276" w:lineRule="auto"/>
        <w:ind w:firstLine="567"/>
        <w:jc w:val="both"/>
        <w:rPr>
          <w:rFonts w:ascii="Times New Roman" w:hAnsi="Times New Roman" w:cs="Times New Roman"/>
          <w:sz w:val="28"/>
          <w:lang w:val="ru"/>
        </w:rPr>
      </w:pPr>
      <w:r>
        <w:rPr>
          <w:rFonts w:ascii="Times New Roman" w:hAnsi="Times New Roman" w:cs="Times New Roman"/>
          <w:b/>
          <w:sz w:val="28"/>
          <w:u w:val="single"/>
          <w:lang w:val="ru"/>
        </w:rPr>
        <w:t>4. Категория «Территория»</w:t>
      </w:r>
      <w:r>
        <w:rPr>
          <w:rFonts w:ascii="Times New Roman" w:hAnsi="Times New Roman" w:cs="Times New Roman"/>
          <w:sz w:val="28"/>
          <w:lang w:val="ru"/>
        </w:rPr>
        <w:t xml:space="preserve"> — к участию допускаются субъекты Российской Федерации или муниципальные образования, в том числе моногорода, реализующие программу(ы) поддержки некоммерческого сектора, добровольчества и благотворительности</w:t>
      </w:r>
    </w:p>
    <w:p w:rsidR="006B7735" w:rsidRDefault="00A128B7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i/>
          <w:sz w:val="28"/>
          <w:lang w:val="ru"/>
        </w:rPr>
      </w:pPr>
      <w:r>
        <w:rPr>
          <w:rFonts w:ascii="Times New Roman" w:hAnsi="Times New Roman" w:cs="Times New Roman"/>
          <w:b/>
          <w:i/>
          <w:sz w:val="28"/>
          <w:lang w:val="ru"/>
        </w:rPr>
        <w:t xml:space="preserve">Номинации категории «Территория»: </w:t>
      </w:r>
    </w:p>
    <w:p w:rsidR="006B7735" w:rsidRDefault="00A128B7">
      <w:pPr>
        <w:pStyle w:val="af9"/>
        <w:numPr>
          <w:ilvl w:val="0"/>
          <w:numId w:val="9"/>
        </w:numPr>
        <w:tabs>
          <w:tab w:val="left" w:pos="567"/>
        </w:tabs>
        <w:spacing w:after="100" w:line="276" w:lineRule="auto"/>
        <w:ind w:left="0" w:firstLine="567"/>
        <w:jc w:val="both"/>
        <w:rPr>
          <w:rFonts w:ascii="Times New Roman" w:hAnsi="Times New Roman" w:cs="Times New Roman"/>
          <w:sz w:val="28"/>
          <w:lang w:val="ru"/>
        </w:rPr>
      </w:pPr>
      <w:r>
        <w:rPr>
          <w:rFonts w:ascii="Times New Roman" w:hAnsi="Times New Roman" w:cs="Times New Roman"/>
          <w:b/>
          <w:sz w:val="28"/>
          <w:lang w:val="ru"/>
        </w:rPr>
        <w:t>«Муниципальные образования и моногорода»</w:t>
      </w:r>
      <w:r>
        <w:rPr>
          <w:rFonts w:ascii="Times New Roman" w:hAnsi="Times New Roman" w:cs="Times New Roman"/>
          <w:sz w:val="28"/>
          <w:lang w:val="ru"/>
        </w:rPr>
        <w:t xml:space="preserve"> — комплексные системные программы поддержки некоммерческого сектора, благотворительности и добровольчества, реализуемые муниципальными образованиями, в том числе моногородами.</w:t>
      </w:r>
    </w:p>
    <w:p w:rsidR="006B7735" w:rsidRDefault="00A128B7">
      <w:pPr>
        <w:pStyle w:val="af9"/>
        <w:numPr>
          <w:ilvl w:val="0"/>
          <w:numId w:val="9"/>
        </w:numPr>
        <w:tabs>
          <w:tab w:val="left" w:pos="567"/>
        </w:tabs>
        <w:spacing w:after="100" w:line="276" w:lineRule="auto"/>
        <w:ind w:left="0" w:firstLine="567"/>
        <w:jc w:val="both"/>
        <w:rPr>
          <w:rFonts w:ascii="Times New Roman" w:hAnsi="Times New Roman" w:cs="Times New Roman"/>
          <w:sz w:val="28"/>
          <w:lang w:val="ru"/>
        </w:rPr>
      </w:pPr>
      <w:r>
        <w:rPr>
          <w:rFonts w:ascii="Times New Roman" w:hAnsi="Times New Roman" w:cs="Times New Roman"/>
          <w:b/>
          <w:sz w:val="28"/>
          <w:lang w:val="ru"/>
        </w:rPr>
        <w:t>«Субъекты Российской Федерации»</w:t>
      </w:r>
      <w:r>
        <w:rPr>
          <w:rFonts w:ascii="Times New Roman" w:hAnsi="Times New Roman" w:cs="Times New Roman"/>
          <w:sz w:val="28"/>
          <w:lang w:val="ru"/>
        </w:rPr>
        <w:t xml:space="preserve"> — комплексные системные программы поддержки некоммерческого сектора, благотворительности и добровольчества, реализуемые региональным Правительством.</w:t>
      </w:r>
    </w:p>
    <w:p w:rsidR="006B7735" w:rsidRDefault="006B7735">
      <w:pPr>
        <w:tabs>
          <w:tab w:val="left" w:pos="567"/>
        </w:tabs>
        <w:spacing w:after="100" w:line="276" w:lineRule="auto"/>
        <w:jc w:val="both"/>
        <w:rPr>
          <w:rFonts w:ascii="Times New Roman" w:hAnsi="Times New Roman" w:cs="Times New Roman"/>
          <w:sz w:val="28"/>
          <w:lang w:val="ru"/>
        </w:rPr>
      </w:pPr>
    </w:p>
    <w:p w:rsidR="006B7735" w:rsidRDefault="00A128B7">
      <w:pPr>
        <w:tabs>
          <w:tab w:val="left" w:pos="567"/>
        </w:tabs>
        <w:spacing w:after="100" w:line="276" w:lineRule="auto"/>
        <w:jc w:val="both"/>
        <w:rPr>
          <w:rFonts w:ascii="Times New Roman" w:hAnsi="Times New Roman" w:cs="Times New Roman"/>
          <w:sz w:val="28"/>
          <w:lang w:val="ru"/>
        </w:rPr>
      </w:pPr>
      <w:r>
        <w:rPr>
          <w:rFonts w:ascii="Times New Roman" w:hAnsi="Times New Roman" w:cs="Times New Roman"/>
          <w:b/>
          <w:sz w:val="28"/>
          <w:lang w:val="ru"/>
        </w:rPr>
        <w:lastRenderedPageBreak/>
        <w:t>Специальные номинации:</w:t>
      </w:r>
    </w:p>
    <w:p w:rsidR="006B7735" w:rsidRDefault="00A128B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lang w:val="ru"/>
        </w:rPr>
      </w:pPr>
      <w:r>
        <w:rPr>
          <w:rFonts w:ascii="Times New Roman" w:hAnsi="Times New Roman" w:cs="Times New Roman"/>
          <w:b/>
          <w:sz w:val="28"/>
          <w:lang w:val="ru"/>
        </w:rPr>
        <w:t>«Партнерство года»</w:t>
      </w:r>
      <w:r>
        <w:rPr>
          <w:rFonts w:ascii="Times New Roman" w:hAnsi="Times New Roman" w:cs="Times New Roman"/>
          <w:sz w:val="28"/>
          <w:lang w:val="ru"/>
        </w:rPr>
        <w:t xml:space="preserve"> — присуждается за достижение взаимовыгодных результатов с партнерами в реализации социально значимых проектов.</w:t>
      </w:r>
    </w:p>
    <w:p w:rsidR="006B7735" w:rsidRDefault="00A128B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lang w:val="ru"/>
        </w:rPr>
      </w:pPr>
      <w:r>
        <w:rPr>
          <w:rFonts w:ascii="Times New Roman" w:hAnsi="Times New Roman" w:cs="Times New Roman"/>
          <w:b/>
          <w:sz w:val="28"/>
          <w:lang w:val="ru"/>
        </w:rPr>
        <w:t>«Народное признание»</w:t>
      </w:r>
      <w:r>
        <w:rPr>
          <w:rFonts w:ascii="Times New Roman" w:hAnsi="Times New Roman" w:cs="Times New Roman"/>
          <w:sz w:val="28"/>
          <w:lang w:val="ru"/>
        </w:rPr>
        <w:t xml:space="preserve"> — присуждается финалистам Премии, набравшим наибольшее количество голосов в народном голосовании.</w:t>
      </w:r>
    </w:p>
    <w:p w:rsidR="006B7735" w:rsidRDefault="00A128B7">
      <w:pPr>
        <w:spacing w:after="200" w:line="276" w:lineRule="auto"/>
        <w:ind w:firstLine="567"/>
        <w:jc w:val="both"/>
        <w:rPr>
          <w:rFonts w:ascii="Times New Roman" w:hAnsi="Times New Roman" w:cs="Times New Roman"/>
          <w:sz w:val="28"/>
          <w:lang w:val="ru"/>
        </w:rPr>
      </w:pPr>
      <w:r>
        <w:rPr>
          <w:rFonts w:ascii="Times New Roman" w:hAnsi="Times New Roman" w:cs="Times New Roman"/>
          <w:b/>
          <w:sz w:val="28"/>
          <w:lang w:val="ru"/>
        </w:rPr>
        <w:t>«Вместе сильнее»</w:t>
      </w:r>
      <w:r>
        <w:rPr>
          <w:rFonts w:ascii="Times New Roman" w:hAnsi="Times New Roman" w:cs="Times New Roman"/>
          <w:sz w:val="28"/>
          <w:lang w:val="ru"/>
        </w:rPr>
        <w:t xml:space="preserve"> — присуждается за реализацию совместного социального проекта между государством, НКО, бизнесом или СМИ.</w:t>
      </w:r>
    </w:p>
    <w:p w:rsidR="006B7735" w:rsidRDefault="00A128B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Премия позволяет финалистам и победителям регионального этапа получить признание своей деятельности, найти сообщество единомышленников и соавторов, получить помощь в развитии проекта и команды, найти партнёров. Так, финалисты Премии 2024 года получат в этом году, в числе других преференций, возможность участвовать в Молодёжном дне ПМЭФ-2025 благодаря партнёрству с Фондом Росконгресс, статус лекторов Российского общества «Знание» и путёвки на участие в профильных сменах Движения Первых. </w:t>
      </w:r>
    </w:p>
    <w:p w:rsidR="006B7735" w:rsidRDefault="00A128B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lang w:val="ru"/>
        </w:rPr>
      </w:pPr>
      <w:r>
        <w:rPr>
          <w:rFonts w:ascii="Times New Roman" w:hAnsi="Times New Roman" w:cs="Times New Roman"/>
          <w:sz w:val="28"/>
          <w:lang w:val="ru"/>
        </w:rPr>
        <w:t>Старт пятого сезона Премии запланирован на 12 апреля 2025 года.</w:t>
      </w:r>
      <w:r>
        <w:t xml:space="preserve"> </w:t>
      </w:r>
      <w:r>
        <w:rPr>
          <w:rFonts w:ascii="Times New Roman" w:hAnsi="Times New Roman" w:cs="Times New Roman"/>
          <w:sz w:val="28"/>
          <w:lang w:val="ru"/>
        </w:rPr>
        <w:t>Мероприятие пройдёт в ходе презентации национального проекта «Молодёжь и дети» и старта форумной кампании Росмолодёжи в рамках форума Российского общества «Знание» «Ключ на старт» на площадке Национального центра «Россия».</w:t>
      </w:r>
    </w:p>
    <w:p w:rsidR="006B7735" w:rsidRDefault="006B773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lang w:val="ru"/>
        </w:rPr>
      </w:pPr>
    </w:p>
    <w:p w:rsidR="006B7735" w:rsidRDefault="006B773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lang w:val="ru"/>
        </w:rPr>
      </w:pPr>
    </w:p>
    <w:p w:rsidR="006B7735" w:rsidRDefault="00A128B7">
      <w:pPr>
        <w:spacing w:after="500" w:line="276" w:lineRule="auto"/>
        <w:ind w:firstLine="567"/>
        <w:jc w:val="both"/>
        <w:rPr>
          <w:rFonts w:ascii="Times New Roman" w:hAnsi="Times New Roman" w:cs="Times New Roman"/>
          <w:sz w:val="28"/>
          <w:lang w:val="ru"/>
        </w:rPr>
      </w:pPr>
      <w:r>
        <w:rPr>
          <w:rFonts w:ascii="Times New Roman" w:hAnsi="Times New Roman" w:cs="Times New Roman"/>
          <w:sz w:val="28"/>
          <w:lang w:val="ru"/>
        </w:rPr>
        <w:br/>
      </w:r>
    </w:p>
    <w:p w:rsidR="006B7735" w:rsidRDefault="006B7735">
      <w:pPr>
        <w:spacing w:after="500" w:line="276" w:lineRule="auto"/>
        <w:ind w:firstLine="567"/>
        <w:jc w:val="both"/>
        <w:rPr>
          <w:rFonts w:ascii="Times New Roman" w:hAnsi="Times New Roman" w:cs="Times New Roman"/>
          <w:sz w:val="28"/>
          <w:lang w:val="ru"/>
        </w:rPr>
      </w:pPr>
    </w:p>
    <w:p w:rsidR="006B7735" w:rsidRDefault="006B7735">
      <w:pPr>
        <w:spacing w:after="500" w:line="276" w:lineRule="auto"/>
        <w:ind w:firstLine="567"/>
        <w:jc w:val="both"/>
        <w:rPr>
          <w:rFonts w:ascii="Times New Roman" w:hAnsi="Times New Roman" w:cs="Times New Roman"/>
          <w:sz w:val="28"/>
        </w:rPr>
      </w:pPr>
    </w:p>
    <w:p w:rsidR="006B7735" w:rsidRDefault="006B7735">
      <w:pPr>
        <w:spacing w:after="500" w:line="276" w:lineRule="auto"/>
        <w:ind w:firstLine="567"/>
        <w:jc w:val="both"/>
        <w:rPr>
          <w:rFonts w:ascii="Times New Roman" w:hAnsi="Times New Roman" w:cs="Times New Roman"/>
          <w:sz w:val="28"/>
        </w:rPr>
      </w:pPr>
    </w:p>
    <w:sectPr w:rsidR="006B7735">
      <w:footerReference w:type="default" r:id="rId8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1EAF" w:rsidRDefault="00E61EAF">
      <w:pPr>
        <w:spacing w:after="0" w:line="240" w:lineRule="auto"/>
      </w:pPr>
      <w:r>
        <w:separator/>
      </w:r>
    </w:p>
  </w:endnote>
  <w:endnote w:type="continuationSeparator" w:id="0">
    <w:p w:rsidR="00E61EAF" w:rsidRDefault="00E61E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86428822"/>
      <w:docPartObj>
        <w:docPartGallery w:val="Page Numbers (Bottom of Page)"/>
        <w:docPartUnique/>
      </w:docPartObj>
    </w:sdtPr>
    <w:sdtEndPr/>
    <w:sdtContent>
      <w:p w:rsidR="006B7735" w:rsidRDefault="00A128B7">
        <w:pPr>
          <w:pStyle w:val="af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0692">
          <w:rPr>
            <w:noProof/>
          </w:rPr>
          <w:t>1</w:t>
        </w:r>
        <w:r>
          <w:fldChar w:fldCharType="end"/>
        </w:r>
      </w:p>
    </w:sdtContent>
  </w:sdt>
  <w:p w:rsidR="006B7735" w:rsidRDefault="006B7735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1EAF" w:rsidRDefault="00E61EAF">
      <w:pPr>
        <w:spacing w:after="0" w:line="240" w:lineRule="auto"/>
      </w:pPr>
      <w:r>
        <w:separator/>
      </w:r>
    </w:p>
  </w:footnote>
  <w:footnote w:type="continuationSeparator" w:id="0">
    <w:p w:rsidR="00E61EAF" w:rsidRDefault="00E61E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8B1152"/>
    <w:multiLevelType w:val="hybridMultilevel"/>
    <w:tmpl w:val="75B07666"/>
    <w:lvl w:ilvl="0" w:tplc="CBFE51C2">
      <w:start w:val="1"/>
      <w:numFmt w:val="decimal"/>
      <w:lvlText w:val="%1)"/>
      <w:lvlJc w:val="left"/>
      <w:pPr>
        <w:ind w:left="1035" w:hanging="468"/>
      </w:pPr>
      <w:rPr>
        <w:rFonts w:hint="default"/>
      </w:rPr>
    </w:lvl>
    <w:lvl w:ilvl="1" w:tplc="EB328474">
      <w:start w:val="1"/>
      <w:numFmt w:val="lowerLetter"/>
      <w:lvlText w:val="%2."/>
      <w:lvlJc w:val="left"/>
      <w:pPr>
        <w:ind w:left="1647" w:hanging="360"/>
      </w:pPr>
    </w:lvl>
    <w:lvl w:ilvl="2" w:tplc="CA70A36A">
      <w:start w:val="1"/>
      <w:numFmt w:val="lowerRoman"/>
      <w:lvlText w:val="%3."/>
      <w:lvlJc w:val="right"/>
      <w:pPr>
        <w:ind w:left="2367" w:hanging="180"/>
      </w:pPr>
    </w:lvl>
    <w:lvl w:ilvl="3" w:tplc="C004FC92">
      <w:start w:val="1"/>
      <w:numFmt w:val="decimal"/>
      <w:lvlText w:val="%4."/>
      <w:lvlJc w:val="left"/>
      <w:pPr>
        <w:ind w:left="3087" w:hanging="360"/>
      </w:pPr>
    </w:lvl>
    <w:lvl w:ilvl="4" w:tplc="06180DF2">
      <w:start w:val="1"/>
      <w:numFmt w:val="lowerLetter"/>
      <w:lvlText w:val="%5."/>
      <w:lvlJc w:val="left"/>
      <w:pPr>
        <w:ind w:left="3807" w:hanging="360"/>
      </w:pPr>
    </w:lvl>
    <w:lvl w:ilvl="5" w:tplc="47D2B3EC">
      <w:start w:val="1"/>
      <w:numFmt w:val="lowerRoman"/>
      <w:lvlText w:val="%6."/>
      <w:lvlJc w:val="right"/>
      <w:pPr>
        <w:ind w:left="4527" w:hanging="180"/>
      </w:pPr>
    </w:lvl>
    <w:lvl w:ilvl="6" w:tplc="1C22A5A4">
      <w:start w:val="1"/>
      <w:numFmt w:val="decimal"/>
      <w:lvlText w:val="%7."/>
      <w:lvlJc w:val="left"/>
      <w:pPr>
        <w:ind w:left="5247" w:hanging="360"/>
      </w:pPr>
    </w:lvl>
    <w:lvl w:ilvl="7" w:tplc="FC5AC1DA">
      <w:start w:val="1"/>
      <w:numFmt w:val="lowerLetter"/>
      <w:lvlText w:val="%8."/>
      <w:lvlJc w:val="left"/>
      <w:pPr>
        <w:ind w:left="5967" w:hanging="360"/>
      </w:pPr>
    </w:lvl>
    <w:lvl w:ilvl="8" w:tplc="4706365E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D2549D5"/>
    <w:multiLevelType w:val="hybridMultilevel"/>
    <w:tmpl w:val="5882D93E"/>
    <w:lvl w:ilvl="0" w:tplc="A20E7512">
      <w:start w:val="1"/>
      <w:numFmt w:val="decimal"/>
      <w:lvlText w:val="%1."/>
      <w:lvlJc w:val="left"/>
      <w:pPr>
        <w:ind w:left="1287" w:hanging="360"/>
      </w:pPr>
    </w:lvl>
    <w:lvl w:ilvl="1" w:tplc="C910F71E">
      <w:start w:val="1"/>
      <w:numFmt w:val="lowerLetter"/>
      <w:lvlText w:val="%2."/>
      <w:lvlJc w:val="left"/>
      <w:pPr>
        <w:ind w:left="2007" w:hanging="360"/>
      </w:pPr>
    </w:lvl>
    <w:lvl w:ilvl="2" w:tplc="CF44DA0C">
      <w:start w:val="1"/>
      <w:numFmt w:val="lowerRoman"/>
      <w:lvlText w:val="%3."/>
      <w:lvlJc w:val="right"/>
      <w:pPr>
        <w:ind w:left="2727" w:hanging="180"/>
      </w:pPr>
    </w:lvl>
    <w:lvl w:ilvl="3" w:tplc="81AAB47C">
      <w:start w:val="1"/>
      <w:numFmt w:val="decimal"/>
      <w:lvlText w:val="%4."/>
      <w:lvlJc w:val="left"/>
      <w:pPr>
        <w:ind w:left="3447" w:hanging="360"/>
      </w:pPr>
    </w:lvl>
    <w:lvl w:ilvl="4" w:tplc="A6EC1540">
      <w:start w:val="1"/>
      <w:numFmt w:val="lowerLetter"/>
      <w:lvlText w:val="%5."/>
      <w:lvlJc w:val="left"/>
      <w:pPr>
        <w:ind w:left="4167" w:hanging="360"/>
      </w:pPr>
    </w:lvl>
    <w:lvl w:ilvl="5" w:tplc="AF54B5FE">
      <w:start w:val="1"/>
      <w:numFmt w:val="lowerRoman"/>
      <w:lvlText w:val="%6."/>
      <w:lvlJc w:val="right"/>
      <w:pPr>
        <w:ind w:left="4887" w:hanging="180"/>
      </w:pPr>
    </w:lvl>
    <w:lvl w:ilvl="6" w:tplc="4F9EDA46">
      <w:start w:val="1"/>
      <w:numFmt w:val="decimal"/>
      <w:lvlText w:val="%7."/>
      <w:lvlJc w:val="left"/>
      <w:pPr>
        <w:ind w:left="5607" w:hanging="360"/>
      </w:pPr>
    </w:lvl>
    <w:lvl w:ilvl="7" w:tplc="2D3A52A2">
      <w:start w:val="1"/>
      <w:numFmt w:val="lowerLetter"/>
      <w:lvlText w:val="%8."/>
      <w:lvlJc w:val="left"/>
      <w:pPr>
        <w:ind w:left="6327" w:hanging="360"/>
      </w:pPr>
    </w:lvl>
    <w:lvl w:ilvl="8" w:tplc="7604FC5A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202138FE"/>
    <w:multiLevelType w:val="hybridMultilevel"/>
    <w:tmpl w:val="3F786DFC"/>
    <w:lvl w:ilvl="0" w:tplc="DAC69794">
      <w:start w:val="1"/>
      <w:numFmt w:val="decimal"/>
      <w:lvlText w:val="%1)"/>
      <w:lvlJc w:val="left"/>
      <w:pPr>
        <w:ind w:left="1035" w:hanging="468"/>
      </w:pPr>
      <w:rPr>
        <w:rFonts w:hint="default"/>
      </w:rPr>
    </w:lvl>
    <w:lvl w:ilvl="1" w:tplc="B31267AC">
      <w:start w:val="1"/>
      <w:numFmt w:val="lowerLetter"/>
      <w:lvlText w:val="%2."/>
      <w:lvlJc w:val="left"/>
      <w:pPr>
        <w:ind w:left="1647" w:hanging="360"/>
      </w:pPr>
    </w:lvl>
    <w:lvl w:ilvl="2" w:tplc="8ABE3166">
      <w:start w:val="1"/>
      <w:numFmt w:val="lowerRoman"/>
      <w:lvlText w:val="%3."/>
      <w:lvlJc w:val="right"/>
      <w:pPr>
        <w:ind w:left="2367" w:hanging="180"/>
      </w:pPr>
    </w:lvl>
    <w:lvl w:ilvl="3" w:tplc="5CE426C4">
      <w:start w:val="1"/>
      <w:numFmt w:val="decimal"/>
      <w:lvlText w:val="%4."/>
      <w:lvlJc w:val="left"/>
      <w:pPr>
        <w:ind w:left="3087" w:hanging="360"/>
      </w:pPr>
    </w:lvl>
    <w:lvl w:ilvl="4" w:tplc="B0C85A32">
      <w:start w:val="1"/>
      <w:numFmt w:val="lowerLetter"/>
      <w:lvlText w:val="%5."/>
      <w:lvlJc w:val="left"/>
      <w:pPr>
        <w:ind w:left="3807" w:hanging="360"/>
      </w:pPr>
    </w:lvl>
    <w:lvl w:ilvl="5" w:tplc="A5F4EC1E">
      <w:start w:val="1"/>
      <w:numFmt w:val="lowerRoman"/>
      <w:lvlText w:val="%6."/>
      <w:lvlJc w:val="right"/>
      <w:pPr>
        <w:ind w:left="4527" w:hanging="180"/>
      </w:pPr>
    </w:lvl>
    <w:lvl w:ilvl="6" w:tplc="C6FAF95C">
      <w:start w:val="1"/>
      <w:numFmt w:val="decimal"/>
      <w:lvlText w:val="%7."/>
      <w:lvlJc w:val="left"/>
      <w:pPr>
        <w:ind w:left="5247" w:hanging="360"/>
      </w:pPr>
    </w:lvl>
    <w:lvl w:ilvl="7" w:tplc="F3E2B4AE">
      <w:start w:val="1"/>
      <w:numFmt w:val="lowerLetter"/>
      <w:lvlText w:val="%8."/>
      <w:lvlJc w:val="left"/>
      <w:pPr>
        <w:ind w:left="5967" w:hanging="360"/>
      </w:pPr>
    </w:lvl>
    <w:lvl w:ilvl="8" w:tplc="10FE404A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EFB0CA2"/>
    <w:multiLevelType w:val="hybridMultilevel"/>
    <w:tmpl w:val="C7EC2566"/>
    <w:lvl w:ilvl="0" w:tplc="3F06576C">
      <w:start w:val="1"/>
      <w:numFmt w:val="decimal"/>
      <w:lvlText w:val="%1)"/>
      <w:lvlJc w:val="left"/>
      <w:pPr>
        <w:ind w:left="1239" w:hanging="672"/>
      </w:pPr>
      <w:rPr>
        <w:rFonts w:hint="default"/>
      </w:rPr>
    </w:lvl>
    <w:lvl w:ilvl="1" w:tplc="4030E0DC">
      <w:start w:val="1"/>
      <w:numFmt w:val="lowerLetter"/>
      <w:lvlText w:val="%2."/>
      <w:lvlJc w:val="left"/>
      <w:pPr>
        <w:ind w:left="1647" w:hanging="360"/>
      </w:pPr>
    </w:lvl>
    <w:lvl w:ilvl="2" w:tplc="0BBC6D76">
      <w:start w:val="1"/>
      <w:numFmt w:val="lowerRoman"/>
      <w:lvlText w:val="%3."/>
      <w:lvlJc w:val="right"/>
      <w:pPr>
        <w:ind w:left="2367" w:hanging="180"/>
      </w:pPr>
    </w:lvl>
    <w:lvl w:ilvl="3" w:tplc="C8DE9524">
      <w:start w:val="1"/>
      <w:numFmt w:val="decimal"/>
      <w:lvlText w:val="%4."/>
      <w:lvlJc w:val="left"/>
      <w:pPr>
        <w:ind w:left="3087" w:hanging="360"/>
      </w:pPr>
    </w:lvl>
    <w:lvl w:ilvl="4" w:tplc="0C8842AA">
      <w:start w:val="1"/>
      <w:numFmt w:val="lowerLetter"/>
      <w:lvlText w:val="%5."/>
      <w:lvlJc w:val="left"/>
      <w:pPr>
        <w:ind w:left="3807" w:hanging="360"/>
      </w:pPr>
    </w:lvl>
    <w:lvl w:ilvl="5" w:tplc="EAB49A8E">
      <w:start w:val="1"/>
      <w:numFmt w:val="lowerRoman"/>
      <w:lvlText w:val="%6."/>
      <w:lvlJc w:val="right"/>
      <w:pPr>
        <w:ind w:left="4527" w:hanging="180"/>
      </w:pPr>
    </w:lvl>
    <w:lvl w:ilvl="6" w:tplc="C5167386">
      <w:start w:val="1"/>
      <w:numFmt w:val="decimal"/>
      <w:lvlText w:val="%7."/>
      <w:lvlJc w:val="left"/>
      <w:pPr>
        <w:ind w:left="5247" w:hanging="360"/>
      </w:pPr>
    </w:lvl>
    <w:lvl w:ilvl="7" w:tplc="52201E98">
      <w:start w:val="1"/>
      <w:numFmt w:val="lowerLetter"/>
      <w:lvlText w:val="%8."/>
      <w:lvlJc w:val="left"/>
      <w:pPr>
        <w:ind w:left="5967" w:hanging="360"/>
      </w:pPr>
    </w:lvl>
    <w:lvl w:ilvl="8" w:tplc="05F03DB6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86F5B36"/>
    <w:multiLevelType w:val="hybridMultilevel"/>
    <w:tmpl w:val="BF48B1C8"/>
    <w:lvl w:ilvl="0" w:tplc="FB0C92EC">
      <w:start w:val="1"/>
      <w:numFmt w:val="decimal"/>
      <w:lvlText w:val="%1)"/>
      <w:lvlJc w:val="left"/>
      <w:pPr>
        <w:ind w:left="1035" w:hanging="468"/>
      </w:pPr>
      <w:rPr>
        <w:rFonts w:hint="default"/>
      </w:rPr>
    </w:lvl>
    <w:lvl w:ilvl="1" w:tplc="E3281FA2">
      <w:start w:val="1"/>
      <w:numFmt w:val="lowerLetter"/>
      <w:lvlText w:val="%2."/>
      <w:lvlJc w:val="left"/>
      <w:pPr>
        <w:ind w:left="1647" w:hanging="360"/>
      </w:pPr>
    </w:lvl>
    <w:lvl w:ilvl="2" w:tplc="0C6E42EA">
      <w:start w:val="1"/>
      <w:numFmt w:val="lowerRoman"/>
      <w:lvlText w:val="%3."/>
      <w:lvlJc w:val="right"/>
      <w:pPr>
        <w:ind w:left="2367" w:hanging="180"/>
      </w:pPr>
    </w:lvl>
    <w:lvl w:ilvl="3" w:tplc="99C49490">
      <w:start w:val="1"/>
      <w:numFmt w:val="decimal"/>
      <w:lvlText w:val="%4."/>
      <w:lvlJc w:val="left"/>
      <w:pPr>
        <w:ind w:left="3087" w:hanging="360"/>
      </w:pPr>
    </w:lvl>
    <w:lvl w:ilvl="4" w:tplc="D1BCD2A8">
      <w:start w:val="1"/>
      <w:numFmt w:val="lowerLetter"/>
      <w:lvlText w:val="%5."/>
      <w:lvlJc w:val="left"/>
      <w:pPr>
        <w:ind w:left="3807" w:hanging="360"/>
      </w:pPr>
    </w:lvl>
    <w:lvl w:ilvl="5" w:tplc="340886FE">
      <w:start w:val="1"/>
      <w:numFmt w:val="lowerRoman"/>
      <w:lvlText w:val="%6."/>
      <w:lvlJc w:val="right"/>
      <w:pPr>
        <w:ind w:left="4527" w:hanging="180"/>
      </w:pPr>
    </w:lvl>
    <w:lvl w:ilvl="6" w:tplc="57E6683E">
      <w:start w:val="1"/>
      <w:numFmt w:val="decimal"/>
      <w:lvlText w:val="%7."/>
      <w:lvlJc w:val="left"/>
      <w:pPr>
        <w:ind w:left="5247" w:hanging="360"/>
      </w:pPr>
    </w:lvl>
    <w:lvl w:ilvl="7" w:tplc="91585856">
      <w:start w:val="1"/>
      <w:numFmt w:val="lowerLetter"/>
      <w:lvlText w:val="%8."/>
      <w:lvlJc w:val="left"/>
      <w:pPr>
        <w:ind w:left="5967" w:hanging="360"/>
      </w:pPr>
    </w:lvl>
    <w:lvl w:ilvl="8" w:tplc="4A225990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45A7D52"/>
    <w:multiLevelType w:val="hybridMultilevel"/>
    <w:tmpl w:val="2036FED4"/>
    <w:lvl w:ilvl="0" w:tplc="AFDE42D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 w:tplc="9BBAC19C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 w:tplc="FF6099B4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 w:tplc="31A28E64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 w:tplc="0EE857FE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 w:tplc="0B6EDCB0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 w:tplc="D65281B4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 w:tplc="703C08BA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 w:tplc="11043314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>
    <w:nsid w:val="7AEA394D"/>
    <w:multiLevelType w:val="hybridMultilevel"/>
    <w:tmpl w:val="EB18AEAE"/>
    <w:lvl w:ilvl="0" w:tplc="FA22794C">
      <w:start w:val="1"/>
      <w:numFmt w:val="decimal"/>
      <w:lvlText w:val="%1)"/>
      <w:lvlJc w:val="left"/>
      <w:pPr>
        <w:ind w:left="1035" w:hanging="468"/>
      </w:pPr>
      <w:rPr>
        <w:rFonts w:hint="default"/>
      </w:rPr>
    </w:lvl>
    <w:lvl w:ilvl="1" w:tplc="EDFA1884">
      <w:start w:val="1"/>
      <w:numFmt w:val="lowerLetter"/>
      <w:lvlText w:val="%2."/>
      <w:lvlJc w:val="left"/>
      <w:pPr>
        <w:ind w:left="1647" w:hanging="360"/>
      </w:pPr>
    </w:lvl>
    <w:lvl w:ilvl="2" w:tplc="D9F2D214">
      <w:start w:val="1"/>
      <w:numFmt w:val="lowerRoman"/>
      <w:lvlText w:val="%3."/>
      <w:lvlJc w:val="right"/>
      <w:pPr>
        <w:ind w:left="2367" w:hanging="180"/>
      </w:pPr>
    </w:lvl>
    <w:lvl w:ilvl="3" w:tplc="EDFC8214">
      <w:start w:val="1"/>
      <w:numFmt w:val="decimal"/>
      <w:lvlText w:val="%4."/>
      <w:lvlJc w:val="left"/>
      <w:pPr>
        <w:ind w:left="3087" w:hanging="360"/>
      </w:pPr>
    </w:lvl>
    <w:lvl w:ilvl="4" w:tplc="CE5EA6F8">
      <w:start w:val="1"/>
      <w:numFmt w:val="lowerLetter"/>
      <w:lvlText w:val="%5."/>
      <w:lvlJc w:val="left"/>
      <w:pPr>
        <w:ind w:left="3807" w:hanging="360"/>
      </w:pPr>
    </w:lvl>
    <w:lvl w:ilvl="5" w:tplc="2320D754">
      <w:start w:val="1"/>
      <w:numFmt w:val="lowerRoman"/>
      <w:lvlText w:val="%6."/>
      <w:lvlJc w:val="right"/>
      <w:pPr>
        <w:ind w:left="4527" w:hanging="180"/>
      </w:pPr>
    </w:lvl>
    <w:lvl w:ilvl="6" w:tplc="6A38822E">
      <w:start w:val="1"/>
      <w:numFmt w:val="decimal"/>
      <w:lvlText w:val="%7."/>
      <w:lvlJc w:val="left"/>
      <w:pPr>
        <w:ind w:left="5247" w:hanging="360"/>
      </w:pPr>
    </w:lvl>
    <w:lvl w:ilvl="7" w:tplc="BD3411D4">
      <w:start w:val="1"/>
      <w:numFmt w:val="lowerLetter"/>
      <w:lvlText w:val="%8."/>
      <w:lvlJc w:val="left"/>
      <w:pPr>
        <w:ind w:left="5967" w:hanging="360"/>
      </w:pPr>
    </w:lvl>
    <w:lvl w:ilvl="8" w:tplc="33D27A1C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DB54DEE"/>
    <w:multiLevelType w:val="hybridMultilevel"/>
    <w:tmpl w:val="B198CA90"/>
    <w:lvl w:ilvl="0" w:tplc="798C6288">
      <w:start w:val="1"/>
      <w:numFmt w:val="decimal"/>
      <w:lvlText w:val="%1)"/>
      <w:lvlJc w:val="left"/>
      <w:pPr>
        <w:ind w:left="1035" w:hanging="468"/>
      </w:pPr>
      <w:rPr>
        <w:rFonts w:hint="default"/>
      </w:rPr>
    </w:lvl>
    <w:lvl w:ilvl="1" w:tplc="6AEE8D18">
      <w:start w:val="1"/>
      <w:numFmt w:val="lowerLetter"/>
      <w:lvlText w:val="%2."/>
      <w:lvlJc w:val="left"/>
      <w:pPr>
        <w:ind w:left="1647" w:hanging="360"/>
      </w:pPr>
    </w:lvl>
    <w:lvl w:ilvl="2" w:tplc="351E3B12">
      <w:start w:val="1"/>
      <w:numFmt w:val="lowerRoman"/>
      <w:lvlText w:val="%3."/>
      <w:lvlJc w:val="right"/>
      <w:pPr>
        <w:ind w:left="2367" w:hanging="180"/>
      </w:pPr>
    </w:lvl>
    <w:lvl w:ilvl="3" w:tplc="7D186770">
      <w:start w:val="1"/>
      <w:numFmt w:val="decimal"/>
      <w:lvlText w:val="%4."/>
      <w:lvlJc w:val="left"/>
      <w:pPr>
        <w:ind w:left="3087" w:hanging="360"/>
      </w:pPr>
    </w:lvl>
    <w:lvl w:ilvl="4" w:tplc="995CCC3C">
      <w:start w:val="1"/>
      <w:numFmt w:val="lowerLetter"/>
      <w:lvlText w:val="%5."/>
      <w:lvlJc w:val="left"/>
      <w:pPr>
        <w:ind w:left="3807" w:hanging="360"/>
      </w:pPr>
    </w:lvl>
    <w:lvl w:ilvl="5" w:tplc="9E767CAC">
      <w:start w:val="1"/>
      <w:numFmt w:val="lowerRoman"/>
      <w:lvlText w:val="%6."/>
      <w:lvlJc w:val="right"/>
      <w:pPr>
        <w:ind w:left="4527" w:hanging="180"/>
      </w:pPr>
    </w:lvl>
    <w:lvl w:ilvl="6" w:tplc="4C8AC758">
      <w:start w:val="1"/>
      <w:numFmt w:val="decimal"/>
      <w:lvlText w:val="%7."/>
      <w:lvlJc w:val="left"/>
      <w:pPr>
        <w:ind w:left="5247" w:hanging="360"/>
      </w:pPr>
    </w:lvl>
    <w:lvl w:ilvl="7" w:tplc="0214FB58">
      <w:start w:val="1"/>
      <w:numFmt w:val="lowerLetter"/>
      <w:lvlText w:val="%8."/>
      <w:lvlJc w:val="left"/>
      <w:pPr>
        <w:ind w:left="5967" w:hanging="360"/>
      </w:pPr>
    </w:lvl>
    <w:lvl w:ilvl="8" w:tplc="E1A03EEA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FB105B0"/>
    <w:multiLevelType w:val="hybridMultilevel"/>
    <w:tmpl w:val="C95A3E68"/>
    <w:lvl w:ilvl="0" w:tplc="A1FE2610">
      <w:start w:val="1"/>
      <w:numFmt w:val="decimal"/>
      <w:lvlText w:val="%1)"/>
      <w:lvlJc w:val="left"/>
      <w:pPr>
        <w:ind w:left="1035" w:hanging="468"/>
      </w:pPr>
      <w:rPr>
        <w:rFonts w:hint="default"/>
      </w:rPr>
    </w:lvl>
    <w:lvl w:ilvl="1" w:tplc="9318857E">
      <w:start w:val="1"/>
      <w:numFmt w:val="lowerLetter"/>
      <w:lvlText w:val="%2."/>
      <w:lvlJc w:val="left"/>
      <w:pPr>
        <w:ind w:left="1647" w:hanging="360"/>
      </w:pPr>
    </w:lvl>
    <w:lvl w:ilvl="2" w:tplc="D06098EC">
      <w:start w:val="1"/>
      <w:numFmt w:val="lowerRoman"/>
      <w:lvlText w:val="%3."/>
      <w:lvlJc w:val="right"/>
      <w:pPr>
        <w:ind w:left="2367" w:hanging="180"/>
      </w:pPr>
    </w:lvl>
    <w:lvl w:ilvl="3" w:tplc="20E2DD74">
      <w:start w:val="1"/>
      <w:numFmt w:val="decimal"/>
      <w:lvlText w:val="%4."/>
      <w:lvlJc w:val="left"/>
      <w:pPr>
        <w:ind w:left="3087" w:hanging="360"/>
      </w:pPr>
    </w:lvl>
    <w:lvl w:ilvl="4" w:tplc="4120CAE2">
      <w:start w:val="1"/>
      <w:numFmt w:val="lowerLetter"/>
      <w:lvlText w:val="%5."/>
      <w:lvlJc w:val="left"/>
      <w:pPr>
        <w:ind w:left="3807" w:hanging="360"/>
      </w:pPr>
    </w:lvl>
    <w:lvl w:ilvl="5" w:tplc="C1521770">
      <w:start w:val="1"/>
      <w:numFmt w:val="lowerRoman"/>
      <w:lvlText w:val="%6."/>
      <w:lvlJc w:val="right"/>
      <w:pPr>
        <w:ind w:left="4527" w:hanging="180"/>
      </w:pPr>
    </w:lvl>
    <w:lvl w:ilvl="6" w:tplc="A9444780">
      <w:start w:val="1"/>
      <w:numFmt w:val="decimal"/>
      <w:lvlText w:val="%7."/>
      <w:lvlJc w:val="left"/>
      <w:pPr>
        <w:ind w:left="5247" w:hanging="360"/>
      </w:pPr>
    </w:lvl>
    <w:lvl w:ilvl="7" w:tplc="61D6E87C">
      <w:start w:val="1"/>
      <w:numFmt w:val="lowerLetter"/>
      <w:lvlText w:val="%8."/>
      <w:lvlJc w:val="left"/>
      <w:pPr>
        <w:ind w:left="5967" w:hanging="360"/>
      </w:pPr>
    </w:lvl>
    <w:lvl w:ilvl="8" w:tplc="7A70AC76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3"/>
  </w:num>
  <w:num w:numId="5">
    <w:abstractNumId w:val="0"/>
  </w:num>
  <w:num w:numId="6">
    <w:abstractNumId w:val="2"/>
  </w:num>
  <w:num w:numId="7">
    <w:abstractNumId w:val="4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735"/>
    <w:rsid w:val="001675DA"/>
    <w:rsid w:val="006B7735"/>
    <w:rsid w:val="00A128B7"/>
    <w:rsid w:val="00CD0692"/>
    <w:rsid w:val="00E61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4ACB75-356D-4889-956F-C455A639C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b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c">
    <w:name w:val="Hyperlink"/>
    <w:uiPriority w:val="99"/>
    <w:unhideWhenUsed/>
    <w:rPr>
      <w:color w:val="0563C1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  <w:pPr>
      <w:spacing w:after="0"/>
    </w:pPr>
  </w:style>
  <w:style w:type="paragraph" w:styleId="af5">
    <w:name w:val="header"/>
    <w:basedOn w:val="a"/>
    <w:link w:val="af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</w:style>
  <w:style w:type="paragraph" w:styleId="af7">
    <w:name w:val="footer"/>
    <w:basedOn w:val="a"/>
    <w:link w:val="af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</w:style>
  <w:style w:type="paragraph" w:styleId="af9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4851CF-9B8C-40A1-9363-4DF3CCAEE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1124</Words>
  <Characters>6408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Тарасова Евгения Юрьевна</dc:creator>
  <cp:keywords/>
  <dc:description/>
  <cp:lastModifiedBy>Пользователь</cp:lastModifiedBy>
  <cp:revision>2</cp:revision>
  <dcterms:created xsi:type="dcterms:W3CDTF">2025-05-21T10:43:00Z</dcterms:created>
  <dcterms:modified xsi:type="dcterms:W3CDTF">2025-05-21T10:43:00Z</dcterms:modified>
</cp:coreProperties>
</file>