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theme/themeOverride1.xml" ContentType="application/vnd.openxmlformats-officedocument.themeOverride+xml"/>
  <Override PartName="/word/charts/chart6.xml" ContentType="application/vnd.openxmlformats-officedocument.drawingml.chart+xml"/>
  <Override PartName="/word/theme/themeOverride2.xml" ContentType="application/vnd.openxmlformats-officedocument.themeOverrid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49D" w:rsidRPr="009C649D" w:rsidRDefault="009C649D" w:rsidP="004100EF">
      <w:pPr>
        <w:spacing w:after="4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C649D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Информация </w:t>
      </w:r>
      <w:r w:rsidR="00783422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9C649D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о количестве обращений граждан, зарегистрированных </w:t>
      </w:r>
      <w:proofErr w:type="gramStart"/>
      <w:r w:rsidRPr="009C649D">
        <w:rPr>
          <w:rFonts w:ascii="Times New Roman" w:hAnsi="Times New Roman" w:cs="Times New Roman"/>
          <w:b/>
          <w:bCs/>
          <w:i/>
          <w:sz w:val="28"/>
          <w:szCs w:val="28"/>
        </w:rPr>
        <w:t>в</w:t>
      </w:r>
      <w:proofErr w:type="gramEnd"/>
    </w:p>
    <w:p w:rsidR="009C649D" w:rsidRPr="009C649D" w:rsidRDefault="009C649D" w:rsidP="004100EF">
      <w:pPr>
        <w:spacing w:after="4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9C649D">
        <w:rPr>
          <w:rFonts w:ascii="Times New Roman" w:hAnsi="Times New Roman" w:cs="Times New Roman"/>
          <w:b/>
          <w:bCs/>
          <w:i/>
          <w:sz w:val="28"/>
          <w:szCs w:val="28"/>
        </w:rPr>
        <w:t>Министерстве</w:t>
      </w:r>
      <w:proofErr w:type="gramEnd"/>
      <w:r w:rsidRPr="009C649D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социальной политики Свердловской области </w:t>
      </w:r>
    </w:p>
    <w:p w:rsidR="00E54E75" w:rsidRDefault="00204B24" w:rsidP="004100EF">
      <w:pPr>
        <w:spacing w:after="40"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в</w:t>
      </w:r>
      <w:r w:rsidR="004C1369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о </w:t>
      </w:r>
      <w:r w:rsidR="003C7E26">
        <w:rPr>
          <w:rFonts w:ascii="Times New Roman" w:hAnsi="Times New Roman" w:cs="Times New Roman"/>
          <w:b/>
          <w:bCs/>
          <w:i/>
          <w:sz w:val="28"/>
          <w:szCs w:val="28"/>
          <w:lang w:val="en-US"/>
        </w:rPr>
        <w:t>II</w:t>
      </w:r>
      <w:r w:rsidR="009C649D" w:rsidRPr="009C649D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квартале 201</w:t>
      </w:r>
      <w:r w:rsidR="009C649D">
        <w:rPr>
          <w:rFonts w:ascii="Times New Roman" w:hAnsi="Times New Roman" w:cs="Times New Roman"/>
          <w:b/>
          <w:bCs/>
          <w:i/>
          <w:sz w:val="28"/>
          <w:szCs w:val="28"/>
        </w:rPr>
        <w:t>5</w:t>
      </w:r>
      <w:r w:rsidR="009C649D" w:rsidRPr="009C649D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года</w:t>
      </w:r>
    </w:p>
    <w:p w:rsidR="004100EF" w:rsidRDefault="004100EF" w:rsidP="004100EF">
      <w:pPr>
        <w:spacing w:after="4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21C7B" w:rsidRDefault="00E747F4" w:rsidP="002517A3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204B24">
        <w:rPr>
          <w:rFonts w:ascii="Times New Roman" w:hAnsi="Times New Roman" w:cs="Times New Roman"/>
          <w:sz w:val="28"/>
          <w:szCs w:val="28"/>
        </w:rPr>
        <w:t>о</w:t>
      </w:r>
      <w:r w:rsidR="00936A83" w:rsidRPr="00936A83">
        <w:rPr>
          <w:rFonts w:ascii="Times New Roman" w:hAnsi="Times New Roman" w:cs="Times New Roman"/>
          <w:sz w:val="28"/>
          <w:szCs w:val="28"/>
        </w:rPr>
        <w:t xml:space="preserve"> </w:t>
      </w:r>
      <w:r w:rsidR="003C7E26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341285" w:rsidRPr="00341285">
        <w:rPr>
          <w:rFonts w:ascii="Times New Roman" w:hAnsi="Times New Roman" w:cs="Times New Roman"/>
          <w:sz w:val="28"/>
          <w:szCs w:val="28"/>
        </w:rPr>
        <w:t xml:space="preserve"> квартале </w:t>
      </w:r>
      <w:r w:rsidR="00936A83" w:rsidRPr="00936A83">
        <w:rPr>
          <w:rFonts w:ascii="Times New Roman" w:hAnsi="Times New Roman" w:cs="Times New Roman"/>
          <w:sz w:val="28"/>
          <w:szCs w:val="28"/>
        </w:rPr>
        <w:t>201</w:t>
      </w:r>
      <w:r w:rsidR="00341285">
        <w:rPr>
          <w:rFonts w:ascii="Times New Roman" w:hAnsi="Times New Roman" w:cs="Times New Roman"/>
          <w:sz w:val="28"/>
          <w:szCs w:val="28"/>
        </w:rPr>
        <w:t>5</w:t>
      </w:r>
      <w:r w:rsidR="00936A83" w:rsidRPr="00936A83">
        <w:rPr>
          <w:rFonts w:ascii="Times New Roman" w:hAnsi="Times New Roman" w:cs="Times New Roman"/>
          <w:sz w:val="28"/>
          <w:szCs w:val="28"/>
        </w:rPr>
        <w:t xml:space="preserve"> год</w:t>
      </w:r>
      <w:r w:rsidR="00A25AD7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в Министерство социальной политики Свердловской области </w:t>
      </w:r>
      <w:r w:rsidR="00936A83">
        <w:t xml:space="preserve"> </w:t>
      </w:r>
      <w:r w:rsidR="00936A83">
        <w:rPr>
          <w:rFonts w:ascii="Times New Roman" w:hAnsi="Times New Roman" w:cs="Times New Roman"/>
          <w:sz w:val="28"/>
          <w:szCs w:val="28"/>
        </w:rPr>
        <w:t xml:space="preserve"> </w:t>
      </w:r>
      <w:r w:rsidR="002E7485">
        <w:rPr>
          <w:rFonts w:ascii="Times New Roman" w:hAnsi="Times New Roman" w:cs="Times New Roman"/>
          <w:sz w:val="28"/>
          <w:szCs w:val="28"/>
        </w:rPr>
        <w:t xml:space="preserve">поступило </w:t>
      </w:r>
      <w:r w:rsidR="00341285">
        <w:rPr>
          <w:rFonts w:ascii="Times New Roman" w:hAnsi="Times New Roman" w:cs="Times New Roman"/>
          <w:sz w:val="28"/>
          <w:szCs w:val="28"/>
        </w:rPr>
        <w:t>10</w:t>
      </w:r>
      <w:r w:rsidR="00057DFC">
        <w:rPr>
          <w:rFonts w:ascii="Times New Roman" w:hAnsi="Times New Roman" w:cs="Times New Roman"/>
          <w:sz w:val="28"/>
          <w:szCs w:val="28"/>
        </w:rPr>
        <w:t>59</w:t>
      </w:r>
      <w:r w:rsidR="002E7485"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E9005F">
        <w:rPr>
          <w:rFonts w:ascii="Times New Roman" w:hAnsi="Times New Roman" w:cs="Times New Roman"/>
          <w:sz w:val="28"/>
          <w:szCs w:val="28"/>
        </w:rPr>
        <w:t>й</w:t>
      </w:r>
      <w:r w:rsidR="00936A83">
        <w:rPr>
          <w:rFonts w:ascii="Times New Roman" w:hAnsi="Times New Roman" w:cs="Times New Roman"/>
          <w:sz w:val="28"/>
          <w:szCs w:val="28"/>
        </w:rPr>
        <w:t xml:space="preserve">, </w:t>
      </w:r>
      <w:r w:rsidR="00644978">
        <w:rPr>
          <w:rFonts w:ascii="Times New Roman" w:hAnsi="Times New Roman" w:cs="Times New Roman"/>
          <w:sz w:val="28"/>
          <w:szCs w:val="28"/>
        </w:rPr>
        <w:t xml:space="preserve">что на </w:t>
      </w:r>
      <w:r w:rsidR="00057DFC">
        <w:rPr>
          <w:rFonts w:ascii="Times New Roman" w:hAnsi="Times New Roman" w:cs="Times New Roman"/>
          <w:sz w:val="28"/>
          <w:szCs w:val="28"/>
        </w:rPr>
        <w:t>22</w:t>
      </w:r>
      <w:r w:rsidR="00644978">
        <w:rPr>
          <w:rFonts w:ascii="Times New Roman" w:hAnsi="Times New Roman" w:cs="Times New Roman"/>
          <w:sz w:val="28"/>
          <w:szCs w:val="28"/>
        </w:rPr>
        <w:t xml:space="preserve"> процент</w:t>
      </w:r>
      <w:r w:rsidR="00057DFC">
        <w:rPr>
          <w:rFonts w:ascii="Times New Roman" w:hAnsi="Times New Roman" w:cs="Times New Roman"/>
          <w:sz w:val="28"/>
          <w:szCs w:val="28"/>
        </w:rPr>
        <w:t>а</w:t>
      </w:r>
      <w:r w:rsidR="00644978">
        <w:rPr>
          <w:rFonts w:ascii="Times New Roman" w:hAnsi="Times New Roman" w:cs="Times New Roman"/>
          <w:sz w:val="28"/>
          <w:szCs w:val="28"/>
        </w:rPr>
        <w:t xml:space="preserve"> больше, чем в 201</w:t>
      </w:r>
      <w:r w:rsidR="00341285">
        <w:rPr>
          <w:rFonts w:ascii="Times New Roman" w:hAnsi="Times New Roman" w:cs="Times New Roman"/>
          <w:sz w:val="28"/>
          <w:szCs w:val="28"/>
        </w:rPr>
        <w:t>4</w:t>
      </w:r>
      <w:r w:rsidR="00644978">
        <w:rPr>
          <w:rFonts w:ascii="Times New Roman" w:hAnsi="Times New Roman" w:cs="Times New Roman"/>
          <w:sz w:val="28"/>
          <w:szCs w:val="28"/>
        </w:rPr>
        <w:t xml:space="preserve"> году</w:t>
      </w:r>
      <w:r w:rsidR="00341285">
        <w:rPr>
          <w:rFonts w:ascii="Times New Roman" w:hAnsi="Times New Roman" w:cs="Times New Roman"/>
          <w:sz w:val="28"/>
          <w:szCs w:val="28"/>
        </w:rPr>
        <w:t xml:space="preserve"> (8</w:t>
      </w:r>
      <w:r w:rsidR="00057DFC">
        <w:rPr>
          <w:rFonts w:ascii="Times New Roman" w:hAnsi="Times New Roman" w:cs="Times New Roman"/>
          <w:sz w:val="28"/>
          <w:szCs w:val="28"/>
        </w:rPr>
        <w:t>13</w:t>
      </w:r>
      <w:r w:rsidR="00341285">
        <w:rPr>
          <w:rFonts w:ascii="Times New Roman" w:hAnsi="Times New Roman" w:cs="Times New Roman"/>
          <w:sz w:val="28"/>
          <w:szCs w:val="28"/>
        </w:rPr>
        <w:t>)</w:t>
      </w:r>
      <w:r w:rsidR="00936A83">
        <w:rPr>
          <w:rFonts w:ascii="Times New Roman" w:hAnsi="Times New Roman" w:cs="Times New Roman"/>
          <w:sz w:val="28"/>
          <w:szCs w:val="28"/>
        </w:rPr>
        <w:t>.</w:t>
      </w:r>
    </w:p>
    <w:p w:rsidR="00E54E75" w:rsidRDefault="00E54E75" w:rsidP="002517A3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54E75">
        <w:rPr>
          <w:rFonts w:ascii="Times New Roman" w:eastAsia="Times New Roman" w:hAnsi="Times New Roman" w:cs="Times New Roman"/>
          <w:sz w:val="28"/>
          <w:szCs w:val="20"/>
          <w:lang w:eastAsia="ru-RU"/>
        </w:rPr>
        <w:t>Диаграмма 1</w:t>
      </w:r>
    </w:p>
    <w:p w:rsidR="00600D0A" w:rsidRPr="00E54E75" w:rsidRDefault="00600D0A" w:rsidP="002517A3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54E75" w:rsidRPr="00A24EF6" w:rsidRDefault="00E54E75" w:rsidP="002517A3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4E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Динамика поступления обращений граждан</w:t>
      </w:r>
    </w:p>
    <w:p w:rsidR="00254B4D" w:rsidRPr="00A24EF6" w:rsidRDefault="00057DFC" w:rsidP="00254B4D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4E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3C7E26" w:rsidRPr="00A24E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Pr="00A24E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F2A35" w:rsidRPr="00A24EF6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II</w:t>
      </w:r>
      <w:r w:rsidR="00EF2A35" w:rsidRPr="00A24E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54B4D" w:rsidRPr="00A24E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квартале 2015 года</w:t>
      </w:r>
    </w:p>
    <w:p w:rsidR="00BD7E9B" w:rsidRDefault="00BD7E9B" w:rsidP="003364F6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62336" behindDoc="0" locked="0" layoutInCell="1" allowOverlap="1" wp14:anchorId="3231DBBE" wp14:editId="3DC7E802">
            <wp:simplePos x="0" y="0"/>
            <wp:positionH relativeFrom="column">
              <wp:posOffset>209550</wp:posOffset>
            </wp:positionH>
            <wp:positionV relativeFrom="paragraph">
              <wp:posOffset>208280</wp:posOffset>
            </wp:positionV>
            <wp:extent cx="5372100" cy="3097530"/>
            <wp:effectExtent l="0" t="0" r="19050" b="26670"/>
            <wp:wrapSquare wrapText="bothSides"/>
            <wp:docPr id="2" name="Диаграмма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D7E9B" w:rsidRDefault="00BD7E9B" w:rsidP="007D64EF">
      <w:pPr>
        <w:spacing w:afterLines="100" w:after="24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7E9B" w:rsidRDefault="00BD7E9B" w:rsidP="007D64EF">
      <w:pPr>
        <w:spacing w:afterLines="100" w:after="24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7E9B" w:rsidRDefault="00BD7E9B" w:rsidP="007D64EF">
      <w:pPr>
        <w:spacing w:afterLines="100" w:after="24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7E9B" w:rsidRDefault="00BD7E9B" w:rsidP="007D64EF">
      <w:pPr>
        <w:spacing w:afterLines="100" w:after="24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7E9B" w:rsidRDefault="00BD7E9B" w:rsidP="007D64EF">
      <w:pPr>
        <w:spacing w:afterLines="100" w:after="24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7E9B" w:rsidRDefault="00BD7E9B" w:rsidP="007D64EF">
      <w:pPr>
        <w:spacing w:afterLines="100" w:after="24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7E9B" w:rsidRDefault="00BD7E9B" w:rsidP="007D64EF">
      <w:pPr>
        <w:spacing w:afterLines="100" w:after="24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7E9B" w:rsidRDefault="00BD7E9B" w:rsidP="007D64EF">
      <w:pPr>
        <w:spacing w:afterLines="100" w:after="24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64F6" w:rsidRDefault="003364F6" w:rsidP="007D64EF">
      <w:pPr>
        <w:spacing w:afterLines="100" w:after="24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64F6" w:rsidRDefault="00E747F4" w:rsidP="007D64EF">
      <w:pPr>
        <w:spacing w:afterLines="100" w:after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</w:t>
      </w:r>
      <w:r w:rsidR="00254B4D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91160F" w:rsidRPr="0091160F">
        <w:rPr>
          <w:rFonts w:ascii="Times New Roman" w:eastAsia="Times New Roman" w:hAnsi="Times New Roman" w:cs="Times New Roman"/>
          <w:sz w:val="28"/>
          <w:szCs w:val="28"/>
          <w:lang w:eastAsia="ru-RU"/>
        </w:rPr>
        <w:t>59</w:t>
      </w:r>
      <w:r w:rsidR="00EF2A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поступивших</w:t>
      </w:r>
      <w:r w:rsidR="00A35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обращений граждан</w:t>
      </w:r>
      <w:r w:rsidR="00EF2A3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A35C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F2A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устных – </w:t>
      </w:r>
      <w:r w:rsidR="0091160F" w:rsidRPr="0091160F">
        <w:rPr>
          <w:rFonts w:ascii="Times New Roman" w:eastAsia="Times New Roman" w:hAnsi="Times New Roman" w:cs="Times New Roman"/>
          <w:sz w:val="28"/>
          <w:szCs w:val="28"/>
          <w:lang w:eastAsia="ru-RU"/>
        </w:rPr>
        <w:t>143</w:t>
      </w:r>
      <w:r w:rsidR="00EF2A3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C7E26" w:rsidRPr="003C7E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F2A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письменных </w:t>
      </w:r>
      <w:r w:rsidR="00EF2A35" w:rsidRPr="00EF2A35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3C7E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F2A35">
        <w:rPr>
          <w:rFonts w:ascii="Times New Roman" w:eastAsia="Times New Roman" w:hAnsi="Times New Roman" w:cs="Times New Roman"/>
          <w:sz w:val="28"/>
          <w:szCs w:val="28"/>
          <w:lang w:eastAsia="ru-RU"/>
        </w:rPr>
        <w:t>(в том числе 230 обращений в электронной форме), что в 2 раза больше, чем за аналогичный период 2014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F2A35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Однако</w:t>
      </w:r>
      <w:proofErr w:type="gramStart"/>
      <w:r w:rsidR="003C7E2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="003C7E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сравнению с</w:t>
      </w:r>
      <w:r w:rsidR="009116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C7E26" w:rsidRPr="003C7E26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I</w:t>
      </w:r>
      <w:r w:rsidR="003C7E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кварталом 2015 года</w:t>
      </w:r>
      <w:r w:rsidR="00EF2A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отмечено сокращение</w:t>
      </w:r>
      <w:r w:rsidR="003C7E26" w:rsidRPr="003C7E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1160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</w:t>
      </w:r>
      <w:r w:rsidR="00EF2A3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обраще</w:t>
      </w:r>
      <w:r w:rsidR="00E72966">
        <w:rPr>
          <w:rFonts w:ascii="Times New Roman" w:eastAsia="Times New Roman" w:hAnsi="Times New Roman" w:cs="Times New Roman"/>
          <w:sz w:val="28"/>
          <w:szCs w:val="28"/>
          <w:lang w:eastAsia="ru-RU"/>
        </w:rPr>
        <w:t>ний граждан</w:t>
      </w:r>
      <w:r w:rsidR="00EF2A35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направленных</w:t>
      </w:r>
      <w:r w:rsidR="00E729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62648">
        <w:rPr>
          <w:rFonts w:ascii="Times New Roman" w:hAnsi="Times New Roman" w:cs="Times New Roman"/>
          <w:sz w:val="28"/>
          <w:szCs w:val="28"/>
        </w:rPr>
        <w:t>через электронную почту и через сайт Министерства социальной политики Свердловской области (</w:t>
      </w:r>
      <w:r w:rsidR="00254B4D" w:rsidRPr="00254B4D">
        <w:rPr>
          <w:rFonts w:ascii="Times New Roman" w:hAnsi="Times New Roman" w:cs="Times New Roman"/>
          <w:sz w:val="28"/>
          <w:szCs w:val="28"/>
          <w:u w:val="single"/>
        </w:rPr>
        <w:t>http://msp.midural.ru/</w:t>
      </w:r>
      <w:r w:rsidRPr="00C62648">
        <w:rPr>
          <w:rFonts w:ascii="Times New Roman" w:hAnsi="Times New Roman" w:cs="Times New Roman"/>
          <w:sz w:val="28"/>
          <w:szCs w:val="28"/>
        </w:rPr>
        <w:t>) посредством   интерактивной страницы «</w:t>
      </w:r>
      <w:r w:rsidR="00254B4D" w:rsidRPr="00254B4D">
        <w:rPr>
          <w:rFonts w:ascii="Times New Roman" w:hAnsi="Times New Roman" w:cs="Times New Roman"/>
          <w:sz w:val="28"/>
          <w:szCs w:val="28"/>
        </w:rPr>
        <w:t>ОБРАТИТЬСЯ В МИНИСТЕРСТВО</w:t>
      </w:r>
      <w:r w:rsidRPr="00C6264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747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0F29" w:rsidRDefault="00230F29" w:rsidP="007D64EF">
      <w:pPr>
        <w:spacing w:afterLines="100" w:after="24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территориальной принадлежности наибольшее количество обращений поступило из городов и районов </w:t>
      </w:r>
      <w:r w:rsidR="002B6E41" w:rsidRPr="002B6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Восточного </w:t>
      </w: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управленческого округа Свердловской области (</w:t>
      </w:r>
      <w:r w:rsidR="00484E3B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2B6E41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и </w:t>
      </w:r>
      <w:r w:rsidR="002B6E4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Западного</w:t>
      </w:r>
      <w:r w:rsidR="002B6E41" w:rsidRPr="002B6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управленческого округа Свердловской области (</w:t>
      </w:r>
      <w:r w:rsidR="002B6E41">
        <w:rPr>
          <w:rFonts w:ascii="Times New Roman" w:eastAsia="Times New Roman" w:hAnsi="Times New Roman" w:cs="Times New Roman"/>
          <w:sz w:val="28"/>
          <w:szCs w:val="28"/>
          <w:lang w:eastAsia="ru-RU"/>
        </w:rPr>
        <w:t>105</w:t>
      </w: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  <w:r w:rsidR="00EF2A3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реже всего в Министерство социальной политики Свердловской области обращались жители, проживающие в муниципальных образованиях  Северного управленческого округа (80</w:t>
      </w:r>
      <w:r w:rsidR="003C7E26" w:rsidRPr="003C7E2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A11984" w:rsidRDefault="00A11984" w:rsidP="002517A3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11984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Диаграмма </w:t>
      </w:r>
      <w:r w:rsidR="00E54E75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</w:p>
    <w:p w:rsidR="00484E3B" w:rsidRPr="00A11984" w:rsidRDefault="00484E3B" w:rsidP="002517A3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C7E26" w:rsidRPr="00A24EF6" w:rsidRDefault="00E747F4" w:rsidP="002517A3">
      <w:pPr>
        <w:tabs>
          <w:tab w:val="left" w:pos="808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A24EF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Количество</w:t>
      </w:r>
      <w:r w:rsidR="00A11984" w:rsidRPr="00A24EF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обращени</w:t>
      </w:r>
      <w:r w:rsidRPr="00A24EF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й граждан</w:t>
      </w:r>
      <w:r w:rsidR="003C7E26" w:rsidRPr="00A24EF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, поступивших</w:t>
      </w:r>
      <w:r w:rsidR="00A11984" w:rsidRPr="00A24EF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</w:p>
    <w:p w:rsidR="00A11984" w:rsidRPr="00A24EF6" w:rsidRDefault="00AD79FA" w:rsidP="002517A3">
      <w:pPr>
        <w:tabs>
          <w:tab w:val="left" w:pos="808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4EF6">
        <w:rPr>
          <w:rFonts w:ascii="Times New Roman" w:eastAsia="Times New Roman" w:hAnsi="Times New Roman" w:cs="Times New Roman"/>
          <w:noProof/>
          <w:color w:val="17365D" w:themeColor="text2" w:themeShade="BF"/>
          <w:sz w:val="20"/>
          <w:szCs w:val="20"/>
          <w:lang w:eastAsia="ru-RU"/>
        </w:rPr>
        <w:drawing>
          <wp:anchor distT="0" distB="0" distL="114300" distR="114300" simplePos="0" relativeHeight="251660288" behindDoc="1" locked="0" layoutInCell="1" allowOverlap="1" wp14:anchorId="5CC66A59" wp14:editId="42EAC31B">
            <wp:simplePos x="0" y="0"/>
            <wp:positionH relativeFrom="column">
              <wp:posOffset>90170</wp:posOffset>
            </wp:positionH>
            <wp:positionV relativeFrom="paragraph">
              <wp:posOffset>333375</wp:posOffset>
            </wp:positionV>
            <wp:extent cx="5753100" cy="5829300"/>
            <wp:effectExtent l="0" t="0" r="19050" b="19050"/>
            <wp:wrapTopAndBottom/>
            <wp:docPr id="1" name="Диаграмм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1984" w:rsidRPr="00A24EF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в</w:t>
      </w:r>
      <w:r w:rsidR="003C7E26" w:rsidRPr="00A24EF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о</w:t>
      </w:r>
      <w:r w:rsidR="00A11984" w:rsidRPr="00A24EF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="003C7E26" w:rsidRPr="00A24EF6">
        <w:rPr>
          <w:rFonts w:ascii="Times New Roman" w:eastAsia="Times New Roman" w:hAnsi="Times New Roman" w:cs="Times New Roman"/>
          <w:b/>
          <w:sz w:val="28"/>
          <w:szCs w:val="20"/>
          <w:lang w:val="en-US" w:eastAsia="ru-RU"/>
        </w:rPr>
        <w:t>II</w:t>
      </w:r>
      <w:r w:rsidR="00A40827" w:rsidRPr="00A24EF6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квартале</w:t>
      </w:r>
      <w:r w:rsidR="00A40827" w:rsidRPr="00A24EF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="00A11984" w:rsidRPr="00A24EF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201</w:t>
      </w:r>
      <w:r w:rsidR="00A40827" w:rsidRPr="00A24EF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4</w:t>
      </w:r>
      <w:r w:rsidR="00E747F4" w:rsidRPr="00A24EF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="003C7E26" w:rsidRPr="00A24EF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и</w:t>
      </w:r>
      <w:r w:rsidR="00E747F4" w:rsidRPr="00A24EF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201</w:t>
      </w:r>
      <w:r w:rsidR="00A40827" w:rsidRPr="00A24EF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5</w:t>
      </w:r>
      <w:r w:rsidR="00A11984" w:rsidRPr="00A24EF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год</w:t>
      </w:r>
      <w:r w:rsidR="003C7E26" w:rsidRPr="00A24EF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ов, </w:t>
      </w:r>
      <w:r w:rsidR="00E54E75" w:rsidRPr="00A24E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управленческим округам</w:t>
      </w:r>
    </w:p>
    <w:p w:rsidR="00A11984" w:rsidRPr="00A11984" w:rsidRDefault="00A11984" w:rsidP="00AD79FA">
      <w:pPr>
        <w:tabs>
          <w:tab w:val="left" w:pos="8080"/>
        </w:tabs>
        <w:spacing w:after="0" w:line="240" w:lineRule="auto"/>
        <w:ind w:left="284"/>
        <w:jc w:val="center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E7485" w:rsidRDefault="00230F29" w:rsidP="002517A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     </w:t>
      </w:r>
      <w:r w:rsidR="002E748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              </w:t>
      </w:r>
    </w:p>
    <w:p w:rsidR="00146071" w:rsidRDefault="00146071" w:rsidP="002517A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230F29" w:rsidRDefault="00230F29" w:rsidP="002517A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230F2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Наибольш</w:t>
      </w:r>
      <w:r w:rsidR="00A1198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ее</w:t>
      </w:r>
      <w:r w:rsidRPr="00230F2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A1198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количество</w:t>
      </w:r>
      <w:r w:rsidRPr="00230F2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обращений</w:t>
      </w:r>
      <w:r w:rsidR="006816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E54E7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граждан</w:t>
      </w:r>
      <w:r w:rsidR="003364F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в Министерство социальной политики Свердловской области</w:t>
      </w:r>
      <w:r w:rsidR="00E54E7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поступило из следующих </w:t>
      </w:r>
      <w:r w:rsidR="006816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м</w:t>
      </w:r>
      <w:r w:rsidR="00A1198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униципальны</w:t>
      </w:r>
      <w:r w:rsidR="00E54E7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х</w:t>
      </w:r>
      <w:r w:rsidR="00A1198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образовани</w:t>
      </w:r>
      <w:r w:rsidR="00E54E7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й</w:t>
      </w:r>
      <w:r w:rsidRPr="00230F2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: Екатеринбург (</w:t>
      </w:r>
      <w:r w:rsidR="00484E3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</w:t>
      </w:r>
      <w:r w:rsidR="00ED617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72</w:t>
      </w:r>
      <w:r w:rsidRPr="00230F2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),</w:t>
      </w:r>
      <w:r w:rsidR="006816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E54E7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Нижн</w:t>
      </w:r>
      <w:r w:rsidR="0060638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ий</w:t>
      </w:r>
      <w:r w:rsidRPr="00230F2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Тагил (</w:t>
      </w:r>
      <w:r w:rsidR="00ED617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71</w:t>
      </w:r>
      <w:r w:rsidRPr="00230F2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), Каменск-Уральск</w:t>
      </w:r>
      <w:r w:rsidR="0060638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ий</w:t>
      </w:r>
      <w:r w:rsidR="00600D0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(</w:t>
      </w:r>
      <w:r w:rsidR="00ED617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66</w:t>
      </w:r>
      <w:r w:rsidR="00484E3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)</w:t>
      </w:r>
      <w:r w:rsidR="006359F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, ГО Первоуральск (</w:t>
      </w:r>
      <w:r w:rsidR="00ED617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59</w:t>
      </w:r>
      <w:r w:rsidR="006359F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), </w:t>
      </w:r>
      <w:proofErr w:type="spellStart"/>
      <w:r w:rsidR="006359F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Серовский</w:t>
      </w:r>
      <w:proofErr w:type="spellEnd"/>
      <w:r w:rsidR="006359F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 (</w:t>
      </w:r>
      <w:r w:rsidR="00ED617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25</w:t>
      </w:r>
      <w:r w:rsidR="006359F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)</w:t>
      </w:r>
      <w:r w:rsidR="00484E3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:rsidR="00146071" w:rsidRDefault="00146071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146071" w:rsidRDefault="00146071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7D64EF" w:rsidRDefault="007D64EF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3364F6" w:rsidRDefault="003364F6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A11984" w:rsidRDefault="00FC6F23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816E1">
        <w:rPr>
          <w:rFonts w:ascii="Times New Roman CYR" w:eastAsia="Times New Roman" w:hAnsi="Times New Roman CYR" w:cs="Times New Roman CYR"/>
          <w:b/>
          <w:i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 wp14:anchorId="5F426B45" wp14:editId="121A0F29">
            <wp:simplePos x="0" y="0"/>
            <wp:positionH relativeFrom="column">
              <wp:posOffset>-199390</wp:posOffset>
            </wp:positionH>
            <wp:positionV relativeFrom="paragraph">
              <wp:posOffset>344805</wp:posOffset>
            </wp:positionV>
            <wp:extent cx="6583680" cy="4191000"/>
            <wp:effectExtent l="0" t="0" r="26670" b="19050"/>
            <wp:wrapTopAndBottom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16E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Диаграмма </w:t>
      </w:r>
      <w:r w:rsidR="003D040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</w:t>
      </w:r>
    </w:p>
    <w:p w:rsidR="00FC6F23" w:rsidRDefault="00FC6F23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AD79FA" w:rsidRDefault="00AD79FA" w:rsidP="00AD79FA">
      <w:pPr>
        <w:widowControl w:val="0"/>
        <w:autoSpaceDE w:val="0"/>
        <w:autoSpaceDN w:val="0"/>
        <w:adjustRightInd w:val="0"/>
        <w:spacing w:after="10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C6F23" w:rsidRDefault="00FC6F23" w:rsidP="00B776D4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Диаграмма 4</w:t>
      </w:r>
    </w:p>
    <w:p w:rsidR="00B776D4" w:rsidRPr="00B776D4" w:rsidRDefault="00B776D4" w:rsidP="00B776D4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776D4" w:rsidRDefault="00B776D4" w:rsidP="00B776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776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Поступление обращений граждан в течение </w:t>
      </w:r>
      <w:r w:rsidR="003C7E26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квартала 2015</w:t>
      </w:r>
      <w:r w:rsidRPr="00B776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</w:t>
      </w:r>
    </w:p>
    <w:p w:rsidR="00FC6F23" w:rsidRDefault="00FC6F23" w:rsidP="00B776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C6F23" w:rsidRDefault="00FC6F23" w:rsidP="00B776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C6F23" w:rsidRDefault="00FC6F23" w:rsidP="00B776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C6F23" w:rsidRDefault="00FC6F23" w:rsidP="00B776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anchor distT="0" distB="0" distL="114300" distR="114300" simplePos="0" relativeHeight="251664384" behindDoc="0" locked="0" layoutInCell="1" allowOverlap="1" wp14:anchorId="34902CFC" wp14:editId="1A1AA022">
            <wp:simplePos x="0" y="0"/>
            <wp:positionH relativeFrom="column">
              <wp:posOffset>-77470</wp:posOffset>
            </wp:positionH>
            <wp:positionV relativeFrom="paragraph">
              <wp:posOffset>-3810</wp:posOffset>
            </wp:positionV>
            <wp:extent cx="5806440" cy="2976245"/>
            <wp:effectExtent l="0" t="0" r="3810" b="0"/>
            <wp:wrapSquare wrapText="bothSides"/>
            <wp:docPr id="7" name="Диаграмма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F23" w:rsidRDefault="00FC6F23" w:rsidP="00B776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40404" w:rsidRPr="00B776D4" w:rsidRDefault="00040404" w:rsidP="00B776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776D4" w:rsidRPr="000E6177" w:rsidRDefault="00B776D4" w:rsidP="00040404">
      <w:pPr>
        <w:tabs>
          <w:tab w:val="left" w:pos="8080"/>
        </w:tabs>
        <w:spacing w:after="0" w:line="223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A2B3A" w:rsidRPr="000E6177" w:rsidRDefault="001A2B3A" w:rsidP="00040404">
      <w:pPr>
        <w:tabs>
          <w:tab w:val="left" w:pos="8080"/>
        </w:tabs>
        <w:spacing w:after="0" w:line="223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C6F23" w:rsidRDefault="00FC6F23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C6F23" w:rsidRDefault="00FC6F23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C6F23" w:rsidRDefault="00FC6F23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C6F23" w:rsidRDefault="00FC6F23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C6F23" w:rsidRDefault="00FC6F23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C6F23" w:rsidRDefault="00FC6F23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C6F23" w:rsidRDefault="00FC6F23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C6F23" w:rsidRDefault="00FC6F23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C6F23" w:rsidRDefault="00FC6F23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C6F23" w:rsidRDefault="00FC6F23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A2B3A" w:rsidRPr="001A2B3A" w:rsidRDefault="001A2B3A" w:rsidP="001A2B3A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816E1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Диаграмма </w:t>
      </w:r>
      <w:r w:rsidRPr="001A2B3A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</w:p>
    <w:p w:rsidR="001A2B3A" w:rsidRPr="001A2B3A" w:rsidRDefault="001A2B3A" w:rsidP="001A2B3A">
      <w:pPr>
        <w:pStyle w:val="ad"/>
        <w:spacing w:before="0" w:beforeAutospacing="0" w:after="0" w:afterAutospacing="0"/>
        <w:jc w:val="center"/>
        <w:rPr>
          <w:rFonts w:eastAsia="+mn-ea"/>
          <w:b/>
          <w:bCs/>
          <w:color w:val="000000"/>
          <w:kern w:val="24"/>
          <w:sz w:val="28"/>
          <w:szCs w:val="28"/>
        </w:rPr>
      </w:pPr>
    </w:p>
    <w:p w:rsidR="00B15E26" w:rsidRDefault="001A2B3A" w:rsidP="001A2B3A">
      <w:pPr>
        <w:pStyle w:val="ad"/>
        <w:spacing w:before="0" w:beforeAutospacing="0" w:after="0" w:afterAutospacing="0"/>
        <w:jc w:val="center"/>
        <w:rPr>
          <w:rFonts w:eastAsia="+mn-ea"/>
          <w:b/>
          <w:bCs/>
          <w:color w:val="000000"/>
          <w:kern w:val="24"/>
          <w:sz w:val="28"/>
          <w:szCs w:val="28"/>
        </w:rPr>
      </w:pPr>
      <w:r w:rsidRPr="002F57A6">
        <w:rPr>
          <w:rFonts w:eastAsia="+mn-ea"/>
          <w:b/>
          <w:bCs/>
          <w:color w:val="000000"/>
          <w:kern w:val="24"/>
          <w:sz w:val="28"/>
          <w:szCs w:val="28"/>
        </w:rPr>
        <w:t>Коли</w:t>
      </w:r>
      <w:r>
        <w:rPr>
          <w:rFonts w:eastAsia="+mn-ea"/>
          <w:b/>
          <w:bCs/>
          <w:color w:val="000000"/>
          <w:kern w:val="24"/>
          <w:sz w:val="28"/>
          <w:szCs w:val="28"/>
        </w:rPr>
        <w:t>чество обращений граждан</w:t>
      </w:r>
      <w:r w:rsidR="00B15E26">
        <w:rPr>
          <w:rFonts w:eastAsia="+mn-ea"/>
          <w:b/>
          <w:bCs/>
          <w:color w:val="000000"/>
          <w:kern w:val="24"/>
          <w:sz w:val="28"/>
          <w:szCs w:val="28"/>
        </w:rPr>
        <w:t xml:space="preserve">, рассмотренных </w:t>
      </w:r>
    </w:p>
    <w:p w:rsidR="00B15E26" w:rsidRDefault="00B15E26" w:rsidP="001A2B3A">
      <w:pPr>
        <w:pStyle w:val="ad"/>
        <w:spacing w:before="0" w:beforeAutospacing="0" w:after="0" w:afterAutospacing="0"/>
        <w:jc w:val="center"/>
        <w:rPr>
          <w:rFonts w:eastAsia="+mn-ea"/>
          <w:b/>
          <w:bCs/>
          <w:color w:val="000000"/>
          <w:kern w:val="24"/>
          <w:sz w:val="28"/>
          <w:szCs w:val="28"/>
        </w:rPr>
      </w:pPr>
      <w:r>
        <w:rPr>
          <w:rFonts w:eastAsia="+mn-ea"/>
          <w:b/>
          <w:bCs/>
          <w:color w:val="000000"/>
          <w:kern w:val="24"/>
          <w:sz w:val="28"/>
          <w:szCs w:val="28"/>
        </w:rPr>
        <w:t>в Министерстве социальной политики Свердловской области</w:t>
      </w:r>
      <w:r w:rsidR="001A2B3A">
        <w:rPr>
          <w:rFonts w:eastAsia="+mn-ea"/>
          <w:b/>
          <w:bCs/>
          <w:color w:val="000000"/>
          <w:kern w:val="24"/>
          <w:sz w:val="28"/>
          <w:szCs w:val="28"/>
        </w:rPr>
        <w:t xml:space="preserve"> </w:t>
      </w:r>
    </w:p>
    <w:p w:rsidR="001A2B3A" w:rsidRPr="002F57A6" w:rsidRDefault="001A2B3A" w:rsidP="001A2B3A">
      <w:pPr>
        <w:pStyle w:val="ad"/>
        <w:spacing w:before="0" w:beforeAutospacing="0" w:after="0" w:afterAutospacing="0"/>
        <w:jc w:val="center"/>
        <w:rPr>
          <w:sz w:val="28"/>
          <w:szCs w:val="28"/>
        </w:rPr>
      </w:pPr>
      <w:r>
        <w:rPr>
          <w:rFonts w:eastAsia="+mn-ea"/>
          <w:b/>
          <w:bCs/>
          <w:color w:val="000000"/>
          <w:kern w:val="24"/>
          <w:sz w:val="28"/>
          <w:szCs w:val="28"/>
        </w:rPr>
        <w:t>за</w:t>
      </w:r>
      <w:r w:rsidRPr="001A2B3A">
        <w:rPr>
          <w:rFonts w:eastAsia="+mn-ea"/>
          <w:b/>
          <w:bCs/>
          <w:color w:val="000000"/>
          <w:kern w:val="24"/>
          <w:sz w:val="28"/>
          <w:szCs w:val="28"/>
        </w:rPr>
        <w:t xml:space="preserve"> </w:t>
      </w:r>
      <w:r w:rsidR="003C7E26">
        <w:rPr>
          <w:rFonts w:eastAsia="+mn-ea"/>
          <w:b/>
          <w:bCs/>
          <w:color w:val="000000"/>
          <w:kern w:val="24"/>
          <w:sz w:val="28"/>
          <w:szCs w:val="28"/>
          <w:lang w:val="en-US"/>
        </w:rPr>
        <w:t>II</w:t>
      </w:r>
      <w:r w:rsidRPr="001A2B3A">
        <w:rPr>
          <w:rFonts w:eastAsia="+mn-ea"/>
          <w:b/>
          <w:bCs/>
          <w:color w:val="000000"/>
          <w:kern w:val="24"/>
          <w:sz w:val="28"/>
          <w:szCs w:val="28"/>
        </w:rPr>
        <w:t xml:space="preserve"> </w:t>
      </w:r>
      <w:r>
        <w:rPr>
          <w:rFonts w:eastAsia="+mn-ea"/>
          <w:b/>
          <w:bCs/>
          <w:color w:val="000000"/>
          <w:kern w:val="24"/>
          <w:sz w:val="28"/>
          <w:szCs w:val="28"/>
        </w:rPr>
        <w:t>квартал 201</w:t>
      </w:r>
      <w:r w:rsidRPr="002F57A6">
        <w:rPr>
          <w:rFonts w:eastAsia="+mn-ea"/>
          <w:b/>
          <w:bCs/>
          <w:color w:val="000000"/>
          <w:kern w:val="24"/>
          <w:sz w:val="28"/>
          <w:szCs w:val="28"/>
        </w:rPr>
        <w:t>5 год (по отделам)</w:t>
      </w:r>
    </w:p>
    <w:p w:rsidR="001A2B3A" w:rsidRPr="001A2B3A" w:rsidRDefault="001A2B3A" w:rsidP="00040404">
      <w:pPr>
        <w:tabs>
          <w:tab w:val="left" w:pos="8080"/>
        </w:tabs>
        <w:spacing w:after="0" w:line="223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D64EF" w:rsidRDefault="001A2B3A" w:rsidP="000114D6">
      <w:pPr>
        <w:spacing w:after="100" w:line="240" w:lineRule="auto"/>
        <w:ind w:firstLine="851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F57A6">
        <w:rPr>
          <w:rFonts w:ascii="Times New Roman" w:eastAsia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45720</wp:posOffset>
            </wp:positionH>
            <wp:positionV relativeFrom="paragraph">
              <wp:posOffset>1270</wp:posOffset>
            </wp:positionV>
            <wp:extent cx="6152515" cy="3658235"/>
            <wp:effectExtent l="0" t="0" r="19685" b="18415"/>
            <wp:wrapSquare wrapText="bothSides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16E1" w:rsidRPr="006816E1" w:rsidRDefault="006816E1" w:rsidP="000114D6">
      <w:pPr>
        <w:spacing w:after="100" w:line="240" w:lineRule="auto"/>
        <w:ind w:firstLine="851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816E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Рейтинговый анализ тематики обращений</w:t>
      </w:r>
    </w:p>
    <w:p w:rsidR="00FC2027" w:rsidRDefault="006816E1" w:rsidP="00B15E26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816E1">
        <w:rPr>
          <w:rFonts w:ascii="Times New Roman" w:eastAsia="Times New Roman" w:hAnsi="Times New Roman" w:cs="Times New Roman"/>
          <w:sz w:val="28"/>
          <w:szCs w:val="20"/>
          <w:lang w:eastAsia="ru-RU"/>
        </w:rPr>
        <w:t>Тематическая структура обращений граждан в целом  остается стабильной</w:t>
      </w:r>
      <w:r w:rsidR="00B15E2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</w:t>
      </w:r>
      <w:r w:rsidR="00DC0B5D">
        <w:rPr>
          <w:rFonts w:ascii="Times New Roman" w:eastAsia="Times New Roman" w:hAnsi="Times New Roman" w:cs="Times New Roman"/>
          <w:sz w:val="28"/>
          <w:szCs w:val="20"/>
          <w:lang w:eastAsia="ru-RU"/>
        </w:rPr>
        <w:t>Неизменно</w:t>
      </w:r>
      <w:r w:rsidR="00E747F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04EA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остается достаточно высоким количество </w:t>
      </w:r>
      <w:r w:rsidR="007E0D96">
        <w:rPr>
          <w:rFonts w:ascii="Times New Roman" w:eastAsia="Times New Roman" w:hAnsi="Times New Roman" w:cs="Times New Roman"/>
          <w:sz w:val="28"/>
          <w:szCs w:val="20"/>
          <w:lang w:eastAsia="ru-RU"/>
        </w:rPr>
        <w:t>обращений</w:t>
      </w:r>
      <w:r w:rsidR="00FC202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граждан</w:t>
      </w:r>
      <w:r w:rsidRPr="006816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9D42B4">
        <w:rPr>
          <w:rFonts w:ascii="Times New Roman" w:eastAsia="Times New Roman" w:hAnsi="Times New Roman" w:cs="Times New Roman"/>
          <w:sz w:val="28"/>
          <w:szCs w:val="20"/>
          <w:lang w:eastAsia="ru-RU"/>
        </w:rPr>
        <w:t>по вопросам семейного законодательства, о</w:t>
      </w:r>
      <w:r w:rsidR="0054141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разъяснении права на льготы и компенсации, </w:t>
      </w:r>
      <w:r w:rsidR="00541410" w:rsidRPr="0054141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по вопросам </w:t>
      </w:r>
      <w:r w:rsidR="00541410">
        <w:rPr>
          <w:rFonts w:ascii="Times New Roman" w:eastAsia="Times New Roman" w:hAnsi="Times New Roman" w:cs="Times New Roman"/>
          <w:sz w:val="28"/>
          <w:szCs w:val="20"/>
          <w:lang w:eastAsia="ru-RU"/>
        </w:rPr>
        <w:t>начисление пособий</w:t>
      </w:r>
      <w:r w:rsidR="000752F3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0752F3" w:rsidRPr="000752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9D42B4">
        <w:rPr>
          <w:rFonts w:ascii="Times New Roman" w:eastAsia="Times New Roman" w:hAnsi="Times New Roman" w:cs="Times New Roman"/>
          <w:sz w:val="28"/>
          <w:szCs w:val="20"/>
          <w:lang w:eastAsia="ru-RU"/>
        </w:rPr>
        <w:t>социального обслуживания</w:t>
      </w:r>
      <w:r w:rsidRPr="006816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9E2205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устройства в дома-</w:t>
      </w:r>
      <w:r w:rsidR="00F464C6">
        <w:rPr>
          <w:rFonts w:ascii="Times New Roman" w:eastAsia="Times New Roman" w:hAnsi="Times New Roman" w:cs="Times New Roman"/>
          <w:sz w:val="28"/>
          <w:szCs w:val="20"/>
          <w:lang w:eastAsia="ru-RU"/>
        </w:rPr>
        <w:t>интернаты</w:t>
      </w:r>
      <w:r w:rsidR="000752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0752F3" w:rsidRPr="000752F3">
        <w:rPr>
          <w:rFonts w:ascii="Times New Roman" w:eastAsia="Times New Roman" w:hAnsi="Times New Roman" w:cs="Times New Roman"/>
          <w:sz w:val="28"/>
          <w:szCs w:val="20"/>
          <w:lang w:eastAsia="ru-RU"/>
        </w:rPr>
        <w:t>усыновления (удочерения) детей</w:t>
      </w:r>
      <w:r w:rsidR="009D42B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о праве на получение материальной помощи </w:t>
      </w:r>
      <w:r w:rsidR="0054141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 другие вопросы</w:t>
      </w:r>
      <w:r w:rsidR="00704EAB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FC2027" w:rsidRDefault="00FC2027" w:rsidP="00B15E26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Анализ обращений граждан по категориям заявителей позволил сделать вывод о том, что чаще всего в Министерство социальной политики Свердловской области  в</w:t>
      </w:r>
      <w:r w:rsidR="009D42B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 </w:t>
      </w:r>
      <w:r w:rsidR="003C7E26" w:rsidRPr="003C7E26">
        <w:rPr>
          <w:rFonts w:ascii="Times New Roman" w:eastAsia="Times New Roman" w:hAnsi="Times New Roman" w:cs="Times New Roman"/>
          <w:bCs/>
          <w:sz w:val="28"/>
          <w:szCs w:val="20"/>
          <w:lang w:val="en-US" w:eastAsia="ru-RU"/>
        </w:rPr>
        <w:t>II</w:t>
      </w:r>
      <w:r w:rsidR="009D42B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квартале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201</w:t>
      </w:r>
      <w:r w:rsidR="000752F3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="009D42B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E7296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обращались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:</w:t>
      </w:r>
    </w:p>
    <w:p w:rsidR="00894F8E" w:rsidRDefault="00894F8E" w:rsidP="00B15E26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- </w:t>
      </w:r>
      <w:r w:rsidR="00014012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многодетные   семьи</w:t>
      </w:r>
      <w:r w:rsidR="00FC2027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и семьи с детьми-инвалидами; </w:t>
      </w:r>
    </w:p>
    <w:p w:rsidR="003364F6" w:rsidRPr="002A3580" w:rsidRDefault="003364F6" w:rsidP="003364F6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- участники ВОВ и семьи участников ВОВ;</w:t>
      </w:r>
    </w:p>
    <w:p w:rsidR="003364F6" w:rsidRDefault="003364F6" w:rsidP="003364F6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- ветераны труда; </w:t>
      </w:r>
    </w:p>
    <w:p w:rsidR="003364F6" w:rsidRPr="002A3580" w:rsidRDefault="003364F6" w:rsidP="003364F6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- ветераны войны и труженики тыла;</w:t>
      </w:r>
    </w:p>
    <w:p w:rsidR="003364F6" w:rsidRPr="002A3580" w:rsidRDefault="003364F6" w:rsidP="003364F6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- малоимущие граждане (семьи);</w:t>
      </w:r>
    </w:p>
    <w:p w:rsidR="003364F6" w:rsidRPr="002A3580" w:rsidRDefault="003364F6" w:rsidP="003364F6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- инвалиды по общему заболеванию; </w:t>
      </w:r>
    </w:p>
    <w:p w:rsidR="002A3580" w:rsidRPr="002A3580" w:rsidRDefault="002A3580" w:rsidP="00B15E26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- </w:t>
      </w:r>
      <w:r w:rsidR="003364F6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лица из числа </w:t>
      </w:r>
      <w:r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дет</w:t>
      </w:r>
      <w:r w:rsidR="003364F6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ей</w:t>
      </w:r>
      <w:r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-сирот</w:t>
      </w:r>
      <w:r w:rsidR="003364F6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и  оставши</w:t>
      </w:r>
      <w:r w:rsidR="003364F6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хся</w:t>
      </w:r>
      <w:r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без попечения родителей;</w:t>
      </w:r>
    </w:p>
    <w:p w:rsidR="000752F3" w:rsidRPr="002A3580" w:rsidRDefault="000752F3" w:rsidP="00B15E26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- беженцы.</w:t>
      </w:r>
    </w:p>
    <w:p w:rsidR="00A77D7B" w:rsidRDefault="00FC2027" w:rsidP="00B15E26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lastRenderedPageBreak/>
        <w:t>По социальному составу заявителей представлены все основные группы населения</w:t>
      </w:r>
      <w:r w:rsidR="00B4093D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.</w:t>
      </w:r>
      <w:r w:rsidR="005A4B63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Наибо</w:t>
      </w:r>
      <w:r w:rsidR="003C7E26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лее часто обращаются пенсионеры,</w:t>
      </w:r>
      <w:r w:rsidR="00A77D7B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опекуны</w:t>
      </w:r>
      <w:r w:rsidR="003C7E26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,</w:t>
      </w:r>
      <w:r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455E33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безработные</w:t>
      </w:r>
      <w:r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, </w:t>
      </w:r>
      <w:r w:rsidR="00894F8E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а</w:t>
      </w:r>
      <w:r w:rsidR="003C7E26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 </w:t>
      </w:r>
      <w:r w:rsidR="00894F8E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также </w:t>
      </w:r>
      <w:r w:rsidR="00455E33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домохозяйки</w:t>
      </w:r>
      <w:r w:rsidR="00A77D7B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.</w:t>
      </w:r>
    </w:p>
    <w:p w:rsidR="00B15E26" w:rsidRPr="002A3580" w:rsidRDefault="00B15E26" w:rsidP="00B15E26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Также были рассмотрены обращения пострадавших при техногенных радиационных авариях, реабилитированных лиц, участников боевых действий Вооруженных Сил России и ветеранов подразделений особого риска, репрессированных лиц, инвалидов  Великой Отечественной войны, вдов участников (инвалидов) Великой Отечественной войны.</w:t>
      </w:r>
    </w:p>
    <w:p w:rsidR="009D42B4" w:rsidRDefault="00B15E26" w:rsidP="00B15E26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Однако</w:t>
      </w:r>
      <w:r w:rsidRPr="006816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 201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6816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году по сравнению с 201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Pr="006816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годом отмечено определенное изменение, обусловленное общими социальными и экономическими процессами.</w:t>
      </w:r>
    </w:p>
    <w:p w:rsidR="00B15E26" w:rsidRDefault="00B15E26" w:rsidP="00B15E26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В связи с вступлением </w:t>
      </w:r>
      <w:r w:rsidRPr="003C7E26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в силу 1 января 2015 года Федеральн</w:t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ого</w:t>
      </w:r>
      <w:r w:rsidRPr="003C7E26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закон</w:t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а</w:t>
      </w:r>
      <w:r w:rsidRPr="003C7E26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от</w:t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 </w:t>
      </w:r>
      <w:r w:rsidRPr="003C7E26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28</w:t>
      </w:r>
      <w:r w:rsidR="003364F6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 </w:t>
      </w:r>
      <w:r w:rsidRPr="003C7E26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декабря 2013 года № 442-ФЗ «Об основах социального обслуживания граждан в Российской Федерации»</w:t>
      </w:r>
      <w:r w:rsidRPr="003C7E2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стали поступать обращения по вопросам реализации и разъяснения основных положений данного закона. Также продолжают поступать обращения от </w:t>
      </w:r>
      <w:r w:rsidRPr="00F2428A">
        <w:rPr>
          <w:rFonts w:ascii="Times New Roman" w:eastAsia="Times New Roman" w:hAnsi="Times New Roman" w:cs="Times New Roman"/>
          <w:sz w:val="28"/>
          <w:szCs w:val="20"/>
          <w:lang w:eastAsia="ru-RU"/>
        </w:rPr>
        <w:t>лиц, вынужденно покинувших территорию Украины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Pr="00F2428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по вопросам размещения и  социально-бытового устройства.</w:t>
      </w:r>
    </w:p>
    <w:p w:rsidR="00FC6F23" w:rsidRDefault="00FC6F23" w:rsidP="002517A3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6816E1" w:rsidRDefault="006816E1" w:rsidP="002517A3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816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Диаграмма </w:t>
      </w:r>
      <w:r w:rsidR="000B250A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</w:p>
    <w:p w:rsidR="006527C9" w:rsidRDefault="006527C9" w:rsidP="002517A3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6816E1" w:rsidRDefault="000B250A" w:rsidP="002517A3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Тематика обращений граждан во</w:t>
      </w:r>
      <w:r w:rsidR="006816E1" w:rsidRPr="002F6B7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="003C7E26">
        <w:rPr>
          <w:rFonts w:ascii="Times New Roman" w:eastAsia="Times New Roman" w:hAnsi="Times New Roman" w:cs="Times New Roman"/>
          <w:b/>
          <w:sz w:val="28"/>
          <w:szCs w:val="20"/>
          <w:lang w:val="en-US" w:eastAsia="ru-RU"/>
        </w:rPr>
        <w:t>II</w:t>
      </w:r>
      <w:r w:rsidR="007D64EF" w:rsidRPr="007D64EF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квартал</w:t>
      </w:r>
      <w:r w:rsidR="009E220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е</w:t>
      </w:r>
      <w:r w:rsidR="007D64EF" w:rsidRPr="007D64EF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="006816E1" w:rsidRPr="002F6B7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201</w:t>
      </w:r>
      <w:r w:rsidR="009E238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5</w:t>
      </w:r>
      <w:r w:rsidR="006816E1" w:rsidRPr="002F6B7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год</w:t>
      </w:r>
      <w:r w:rsidR="009E220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а</w:t>
      </w:r>
    </w:p>
    <w:p w:rsidR="002F6B78" w:rsidRPr="002F6B78" w:rsidRDefault="002F6B78" w:rsidP="002517A3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230F29" w:rsidRDefault="00B15E26" w:rsidP="00B15E26">
      <w:pPr>
        <w:spacing w:line="240" w:lineRule="auto"/>
        <w:ind w:right="-144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7771608" wp14:editId="0F27E5E5">
            <wp:extent cx="6111240" cy="4732020"/>
            <wp:effectExtent l="0" t="0" r="22860" b="1143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6D64CA" w:rsidRDefault="006D64CA" w:rsidP="009249B7">
      <w:pPr>
        <w:spacing w:after="0" w:line="228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2648" w:rsidRDefault="00C62648" w:rsidP="002517A3">
      <w:pPr>
        <w:tabs>
          <w:tab w:val="center" w:pos="4536"/>
          <w:tab w:val="right" w:pos="9072"/>
        </w:tabs>
        <w:spacing w:afterLines="100" w:after="24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6264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Работа с устными обращениями граждан</w:t>
      </w:r>
    </w:p>
    <w:p w:rsidR="009249B7" w:rsidRDefault="00C62648" w:rsidP="009249B7">
      <w:pPr>
        <w:pStyle w:val="2"/>
        <w:tabs>
          <w:tab w:val="left" w:pos="8080"/>
        </w:tabs>
        <w:spacing w:after="0" w:line="240" w:lineRule="auto"/>
        <w:ind w:left="0" w:firstLine="851"/>
        <w:jc w:val="both"/>
        <w:rPr>
          <w:sz w:val="28"/>
          <w:szCs w:val="28"/>
        </w:rPr>
      </w:pPr>
      <w:r w:rsidRPr="00C62648">
        <w:rPr>
          <w:sz w:val="28"/>
          <w:szCs w:val="28"/>
        </w:rPr>
        <w:t xml:space="preserve">В практике работы сложилась система по приему населения  руководителями исполнительных органов государственной власти Свердловской области. В соответствии с ежемесячным графиком </w:t>
      </w:r>
      <w:r w:rsidR="001E083E">
        <w:rPr>
          <w:sz w:val="28"/>
          <w:szCs w:val="28"/>
        </w:rPr>
        <w:t>руководителями Министерства социальной политики Свердловской области</w:t>
      </w:r>
      <w:r w:rsidRPr="00C62648">
        <w:rPr>
          <w:sz w:val="28"/>
          <w:szCs w:val="28"/>
        </w:rPr>
        <w:t xml:space="preserve"> в </w:t>
      </w:r>
      <w:r w:rsidR="00560B2B" w:rsidRPr="00560B2B">
        <w:rPr>
          <w:sz w:val="28"/>
          <w:szCs w:val="28"/>
          <w:lang w:val="en-US"/>
        </w:rPr>
        <w:t>II</w:t>
      </w:r>
      <w:r w:rsidR="009E2205">
        <w:rPr>
          <w:sz w:val="28"/>
          <w:szCs w:val="28"/>
        </w:rPr>
        <w:t xml:space="preserve"> квартале</w:t>
      </w:r>
      <w:r w:rsidR="007D64EF" w:rsidRPr="007D64EF">
        <w:rPr>
          <w:sz w:val="28"/>
          <w:szCs w:val="28"/>
        </w:rPr>
        <w:t xml:space="preserve"> </w:t>
      </w:r>
      <w:r w:rsidRPr="00C62648">
        <w:rPr>
          <w:sz w:val="28"/>
          <w:szCs w:val="28"/>
        </w:rPr>
        <w:t>201</w:t>
      </w:r>
      <w:r w:rsidR="007D64EF">
        <w:rPr>
          <w:sz w:val="28"/>
          <w:szCs w:val="28"/>
        </w:rPr>
        <w:t>5</w:t>
      </w:r>
      <w:r w:rsidRPr="00C62648">
        <w:rPr>
          <w:sz w:val="28"/>
          <w:szCs w:val="28"/>
        </w:rPr>
        <w:t xml:space="preserve"> год</w:t>
      </w:r>
      <w:r w:rsidR="007D64EF">
        <w:rPr>
          <w:sz w:val="28"/>
          <w:szCs w:val="28"/>
        </w:rPr>
        <w:t>а</w:t>
      </w:r>
      <w:r w:rsidRPr="00C62648">
        <w:rPr>
          <w:sz w:val="28"/>
          <w:szCs w:val="28"/>
        </w:rPr>
        <w:t xml:space="preserve"> </w:t>
      </w:r>
      <w:r w:rsidR="00894F8E" w:rsidRPr="00C62648">
        <w:rPr>
          <w:sz w:val="28"/>
          <w:szCs w:val="28"/>
        </w:rPr>
        <w:t xml:space="preserve">проведено </w:t>
      </w:r>
      <w:r w:rsidR="00EA13CD">
        <w:rPr>
          <w:sz w:val="28"/>
          <w:szCs w:val="28"/>
        </w:rPr>
        <w:t>28</w:t>
      </w:r>
      <w:r w:rsidR="00560B2B">
        <w:rPr>
          <w:sz w:val="28"/>
          <w:szCs w:val="28"/>
        </w:rPr>
        <w:t> </w:t>
      </w:r>
      <w:r w:rsidRPr="00C62648">
        <w:rPr>
          <w:sz w:val="28"/>
          <w:szCs w:val="28"/>
        </w:rPr>
        <w:t>прием</w:t>
      </w:r>
      <w:r w:rsidR="00EA13CD">
        <w:rPr>
          <w:sz w:val="28"/>
          <w:szCs w:val="28"/>
        </w:rPr>
        <w:t>ов</w:t>
      </w:r>
      <w:r w:rsidRPr="00C62648">
        <w:rPr>
          <w:sz w:val="28"/>
          <w:szCs w:val="28"/>
        </w:rPr>
        <w:t xml:space="preserve"> граждан</w:t>
      </w:r>
      <w:r w:rsidR="007D64EF">
        <w:rPr>
          <w:sz w:val="28"/>
          <w:szCs w:val="28"/>
        </w:rPr>
        <w:t>, в том числе</w:t>
      </w:r>
      <w:r w:rsidR="001E083E">
        <w:rPr>
          <w:sz w:val="28"/>
          <w:szCs w:val="28"/>
        </w:rPr>
        <w:t xml:space="preserve"> в рамках приема граждан в Правительст</w:t>
      </w:r>
      <w:r w:rsidR="00560B2B">
        <w:rPr>
          <w:sz w:val="28"/>
          <w:szCs w:val="28"/>
        </w:rPr>
        <w:t>ве Свердловской области и Дней М</w:t>
      </w:r>
      <w:r w:rsidR="001E083E">
        <w:rPr>
          <w:sz w:val="28"/>
          <w:szCs w:val="28"/>
        </w:rPr>
        <w:t>инистерств</w:t>
      </w:r>
      <w:r w:rsidR="00560B2B">
        <w:rPr>
          <w:sz w:val="28"/>
          <w:szCs w:val="28"/>
        </w:rPr>
        <w:t xml:space="preserve">а </w:t>
      </w:r>
      <w:r w:rsidR="001E083E">
        <w:rPr>
          <w:sz w:val="28"/>
          <w:szCs w:val="28"/>
        </w:rPr>
        <w:t>в муниципальных образованиях</w:t>
      </w:r>
      <w:r w:rsidR="00560B2B">
        <w:rPr>
          <w:sz w:val="28"/>
          <w:szCs w:val="28"/>
        </w:rPr>
        <w:t>, расположенных на территории</w:t>
      </w:r>
      <w:r w:rsidR="001E083E">
        <w:rPr>
          <w:sz w:val="28"/>
          <w:szCs w:val="28"/>
        </w:rPr>
        <w:t xml:space="preserve"> Свердловской области</w:t>
      </w:r>
      <w:r w:rsidRPr="00C62648">
        <w:rPr>
          <w:sz w:val="28"/>
          <w:szCs w:val="28"/>
        </w:rPr>
        <w:t>.</w:t>
      </w:r>
      <w:r w:rsidR="009249B7" w:rsidRPr="009249B7">
        <w:rPr>
          <w:sz w:val="28"/>
          <w:szCs w:val="28"/>
        </w:rPr>
        <w:t xml:space="preserve"> </w:t>
      </w:r>
      <w:r w:rsidR="009249B7" w:rsidRPr="009179DA">
        <w:rPr>
          <w:sz w:val="28"/>
          <w:szCs w:val="28"/>
        </w:rPr>
        <w:t>По всем устным обращениям граждан даны необходимые разъяснения и поручения.</w:t>
      </w:r>
    </w:p>
    <w:p w:rsidR="001A2B3A" w:rsidRPr="001A2B3A" w:rsidRDefault="001A2B3A" w:rsidP="000B250A">
      <w:pPr>
        <w:pStyle w:val="2"/>
        <w:tabs>
          <w:tab w:val="left" w:pos="8080"/>
        </w:tabs>
        <w:spacing w:line="240" w:lineRule="auto"/>
        <w:ind w:left="0" w:firstLine="851"/>
        <w:rPr>
          <w:sz w:val="28"/>
          <w:szCs w:val="28"/>
        </w:rPr>
      </w:pPr>
      <w:r w:rsidRPr="001A2B3A">
        <w:rPr>
          <w:sz w:val="28"/>
          <w:szCs w:val="28"/>
        </w:rPr>
        <w:t>Наибольшее количество устных обращений граждан в</w:t>
      </w:r>
      <w:r w:rsidR="009D6112">
        <w:rPr>
          <w:sz w:val="28"/>
          <w:szCs w:val="28"/>
        </w:rPr>
        <w:t>о</w:t>
      </w:r>
      <w:r w:rsidRPr="001A2B3A">
        <w:rPr>
          <w:sz w:val="28"/>
          <w:szCs w:val="28"/>
        </w:rPr>
        <w:t xml:space="preserve"> </w:t>
      </w:r>
      <w:r w:rsidR="009D6112" w:rsidRPr="009D6112">
        <w:rPr>
          <w:sz w:val="28"/>
          <w:szCs w:val="28"/>
          <w:lang w:val="en-US"/>
        </w:rPr>
        <w:t>II</w:t>
      </w:r>
      <w:r w:rsidR="009D6112" w:rsidRPr="009D6112">
        <w:rPr>
          <w:sz w:val="28"/>
          <w:szCs w:val="28"/>
        </w:rPr>
        <w:t xml:space="preserve"> </w:t>
      </w:r>
      <w:r w:rsidRPr="001A2B3A">
        <w:rPr>
          <w:sz w:val="28"/>
          <w:szCs w:val="28"/>
        </w:rPr>
        <w:t xml:space="preserve"> квартале 2015 года было рассмотрено специалистами:</w:t>
      </w:r>
    </w:p>
    <w:p w:rsidR="001A2B3A" w:rsidRPr="001A2B3A" w:rsidRDefault="001A2B3A" w:rsidP="001A2B3A">
      <w:pPr>
        <w:pStyle w:val="2"/>
        <w:tabs>
          <w:tab w:val="left" w:pos="8080"/>
        </w:tabs>
        <w:spacing w:line="240" w:lineRule="auto"/>
        <w:ind w:firstLine="851"/>
        <w:rPr>
          <w:sz w:val="28"/>
          <w:szCs w:val="28"/>
        </w:rPr>
      </w:pPr>
      <w:r w:rsidRPr="001A2B3A">
        <w:rPr>
          <w:sz w:val="28"/>
          <w:szCs w:val="28"/>
        </w:rPr>
        <w:t xml:space="preserve">– </w:t>
      </w:r>
      <w:r w:rsidR="006527C9">
        <w:rPr>
          <w:sz w:val="28"/>
          <w:szCs w:val="28"/>
        </w:rPr>
        <w:t>отдела технологи</w:t>
      </w:r>
      <w:r w:rsidR="003364F6">
        <w:rPr>
          <w:sz w:val="28"/>
          <w:szCs w:val="28"/>
        </w:rPr>
        <w:t>й</w:t>
      </w:r>
      <w:r w:rsidR="006527C9">
        <w:rPr>
          <w:sz w:val="28"/>
          <w:szCs w:val="28"/>
        </w:rPr>
        <w:t xml:space="preserve"> социального обслуживания граждан </w:t>
      </w:r>
      <w:r w:rsidRPr="001A2B3A">
        <w:rPr>
          <w:b/>
          <w:sz w:val="28"/>
          <w:szCs w:val="28"/>
        </w:rPr>
        <w:t>(</w:t>
      </w:r>
      <w:r w:rsidR="006527C9">
        <w:rPr>
          <w:b/>
          <w:sz w:val="28"/>
          <w:szCs w:val="28"/>
        </w:rPr>
        <w:t>46</w:t>
      </w:r>
      <w:r w:rsidRPr="001A2B3A">
        <w:rPr>
          <w:b/>
          <w:sz w:val="28"/>
          <w:szCs w:val="28"/>
        </w:rPr>
        <w:t>)</w:t>
      </w:r>
      <w:r w:rsidRPr="001A2B3A">
        <w:rPr>
          <w:sz w:val="28"/>
          <w:szCs w:val="28"/>
        </w:rPr>
        <w:t>;</w:t>
      </w:r>
    </w:p>
    <w:p w:rsidR="001A2B3A" w:rsidRPr="001A2B3A" w:rsidRDefault="001A2B3A" w:rsidP="001A2B3A">
      <w:pPr>
        <w:pStyle w:val="2"/>
        <w:tabs>
          <w:tab w:val="left" w:pos="8080"/>
        </w:tabs>
        <w:spacing w:line="240" w:lineRule="auto"/>
        <w:ind w:firstLine="851"/>
        <w:rPr>
          <w:sz w:val="28"/>
          <w:szCs w:val="28"/>
        </w:rPr>
      </w:pPr>
      <w:r w:rsidRPr="001A2B3A">
        <w:rPr>
          <w:sz w:val="28"/>
          <w:szCs w:val="28"/>
        </w:rPr>
        <w:t xml:space="preserve">– отдела обеспечения социальных гарантий </w:t>
      </w:r>
      <w:r w:rsidRPr="001A2B3A">
        <w:rPr>
          <w:b/>
          <w:sz w:val="28"/>
          <w:szCs w:val="28"/>
        </w:rPr>
        <w:t>(</w:t>
      </w:r>
      <w:r w:rsidR="006527C9">
        <w:rPr>
          <w:b/>
          <w:sz w:val="28"/>
          <w:szCs w:val="28"/>
        </w:rPr>
        <w:t>45</w:t>
      </w:r>
      <w:r w:rsidRPr="001A2B3A">
        <w:rPr>
          <w:b/>
          <w:sz w:val="28"/>
          <w:szCs w:val="28"/>
        </w:rPr>
        <w:t>)</w:t>
      </w:r>
      <w:r w:rsidRPr="001A2B3A">
        <w:rPr>
          <w:sz w:val="28"/>
          <w:szCs w:val="28"/>
        </w:rPr>
        <w:t>;</w:t>
      </w:r>
    </w:p>
    <w:p w:rsidR="001A2B3A" w:rsidRPr="001A2B3A" w:rsidRDefault="001A2B3A" w:rsidP="001A2B3A">
      <w:pPr>
        <w:pStyle w:val="2"/>
        <w:tabs>
          <w:tab w:val="left" w:pos="8080"/>
        </w:tabs>
        <w:spacing w:line="240" w:lineRule="auto"/>
        <w:ind w:firstLine="851"/>
        <w:rPr>
          <w:sz w:val="28"/>
          <w:szCs w:val="28"/>
        </w:rPr>
      </w:pPr>
      <w:r w:rsidRPr="001A2B3A">
        <w:rPr>
          <w:sz w:val="28"/>
          <w:szCs w:val="28"/>
        </w:rPr>
        <w:t xml:space="preserve">– </w:t>
      </w:r>
      <w:r w:rsidR="006527C9" w:rsidRPr="006527C9">
        <w:rPr>
          <w:sz w:val="28"/>
          <w:szCs w:val="28"/>
        </w:rPr>
        <w:t xml:space="preserve">отдела обеспечения и контроля социальных выплат </w:t>
      </w:r>
      <w:r w:rsidRPr="001A2B3A">
        <w:rPr>
          <w:b/>
          <w:sz w:val="28"/>
          <w:szCs w:val="28"/>
        </w:rPr>
        <w:t>(</w:t>
      </w:r>
      <w:r w:rsidR="006527C9">
        <w:rPr>
          <w:b/>
          <w:sz w:val="28"/>
          <w:szCs w:val="28"/>
        </w:rPr>
        <w:t>31</w:t>
      </w:r>
      <w:r w:rsidRPr="001A2B3A">
        <w:rPr>
          <w:b/>
          <w:sz w:val="28"/>
          <w:szCs w:val="28"/>
        </w:rPr>
        <w:t>)</w:t>
      </w:r>
      <w:r w:rsidRPr="001A2B3A">
        <w:rPr>
          <w:sz w:val="28"/>
          <w:szCs w:val="28"/>
        </w:rPr>
        <w:t>.</w:t>
      </w:r>
    </w:p>
    <w:p w:rsidR="006D64CA" w:rsidRDefault="006D64CA" w:rsidP="009249B7">
      <w:pPr>
        <w:pStyle w:val="2"/>
        <w:tabs>
          <w:tab w:val="left" w:pos="8080"/>
        </w:tabs>
        <w:spacing w:after="0" w:line="240" w:lineRule="auto"/>
        <w:ind w:left="0" w:firstLine="851"/>
        <w:jc w:val="both"/>
        <w:rPr>
          <w:sz w:val="28"/>
          <w:szCs w:val="28"/>
        </w:rPr>
      </w:pPr>
    </w:p>
    <w:p w:rsidR="006D64CA" w:rsidRPr="006D64CA" w:rsidRDefault="006D64CA" w:rsidP="006D64C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D64C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Контроль исполнения поручений по обращениям граждан</w:t>
      </w:r>
    </w:p>
    <w:p w:rsidR="006D64CA" w:rsidRPr="006D64CA" w:rsidRDefault="006D64CA" w:rsidP="006D64C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2AA2" w:rsidRDefault="006D64CA" w:rsidP="006D64C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64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Министерстве социальной политики Свердловской области вопросы рассмотрения обращений граждан находятся на особом контроле. </w:t>
      </w:r>
    </w:p>
    <w:p w:rsidR="006D64CA" w:rsidRDefault="006D64CA" w:rsidP="006D64C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64C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эффективности рассмотрения обращений граждан обеспечено, в первую очередь, за счет осуществления оперативного контроля сроков исполнения поручений, укрепления организационных принципов, повышения персональной ответственности исполнителей и активного участия руководителей в контроле результатов (еженедельное информирование Министра о результатах рассмотрения обращений граждан).</w:t>
      </w:r>
    </w:p>
    <w:p w:rsidR="000E6177" w:rsidRDefault="000E6177" w:rsidP="006D64C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6177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отчетный период в Министерство социальной политики Свердловской области жалоб и обращений граждан и организаций  о фактах совершения коррупционных правонарушений не поступало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bookmarkStart w:id="0" w:name="_GoBack"/>
      <w:bookmarkEnd w:id="0"/>
    </w:p>
    <w:sectPr w:rsidR="000E6177" w:rsidSect="00EF2A35">
      <w:headerReference w:type="default" r:id="rId14"/>
      <w:headerReference w:type="first" r:id="rId15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4A8C" w:rsidRDefault="00E84A8C" w:rsidP="00154BF2">
      <w:pPr>
        <w:spacing w:after="0" w:line="240" w:lineRule="auto"/>
      </w:pPr>
      <w:r>
        <w:separator/>
      </w:r>
    </w:p>
  </w:endnote>
  <w:endnote w:type="continuationSeparator" w:id="0">
    <w:p w:rsidR="00E84A8C" w:rsidRDefault="00E84A8C" w:rsidP="00154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4A8C" w:rsidRDefault="00E84A8C" w:rsidP="00154BF2">
      <w:pPr>
        <w:spacing w:after="0" w:line="240" w:lineRule="auto"/>
      </w:pPr>
      <w:r>
        <w:separator/>
      </w:r>
    </w:p>
  </w:footnote>
  <w:footnote w:type="continuationSeparator" w:id="0">
    <w:p w:rsidR="00E84A8C" w:rsidRDefault="00E84A8C" w:rsidP="00154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49046174"/>
      <w:docPartObj>
        <w:docPartGallery w:val="Page Numbers (Top of Page)"/>
        <w:docPartUnique/>
      </w:docPartObj>
    </w:sdtPr>
    <w:sdtEndPr/>
    <w:sdtContent>
      <w:p w:rsidR="00EF2A35" w:rsidRDefault="00EF2A35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6177">
          <w:rPr>
            <w:noProof/>
          </w:rPr>
          <w:t>6</w:t>
        </w:r>
        <w:r>
          <w:fldChar w:fldCharType="end"/>
        </w:r>
      </w:p>
    </w:sdtContent>
  </w:sdt>
  <w:p w:rsidR="00EF2A35" w:rsidRDefault="00EF2A35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2A35" w:rsidRDefault="00EF2A35">
    <w:pPr>
      <w:pStyle w:val="a8"/>
      <w:jc w:val="center"/>
    </w:pPr>
  </w:p>
  <w:p w:rsidR="00EF2A35" w:rsidRDefault="00EF2A35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7F4"/>
    <w:rsid w:val="000114D6"/>
    <w:rsid w:val="00014012"/>
    <w:rsid w:val="00021C7B"/>
    <w:rsid w:val="0002237C"/>
    <w:rsid w:val="00040404"/>
    <w:rsid w:val="00057DFC"/>
    <w:rsid w:val="00062035"/>
    <w:rsid w:val="0006448A"/>
    <w:rsid w:val="00072736"/>
    <w:rsid w:val="000752F3"/>
    <w:rsid w:val="000A487B"/>
    <w:rsid w:val="000B250A"/>
    <w:rsid w:val="000B6DAA"/>
    <w:rsid w:val="000E6177"/>
    <w:rsid w:val="00107866"/>
    <w:rsid w:val="00146071"/>
    <w:rsid w:val="00154BF2"/>
    <w:rsid w:val="00173EDD"/>
    <w:rsid w:val="001A2B3A"/>
    <w:rsid w:val="001D2CD2"/>
    <w:rsid w:val="001E083E"/>
    <w:rsid w:val="001E6A4D"/>
    <w:rsid w:val="001F547F"/>
    <w:rsid w:val="00204B24"/>
    <w:rsid w:val="00230F29"/>
    <w:rsid w:val="002517A3"/>
    <w:rsid w:val="00254B4D"/>
    <w:rsid w:val="002A3580"/>
    <w:rsid w:val="002B6E41"/>
    <w:rsid w:val="002E7485"/>
    <w:rsid w:val="002F57A6"/>
    <w:rsid w:val="002F6B78"/>
    <w:rsid w:val="003364F6"/>
    <w:rsid w:val="00341285"/>
    <w:rsid w:val="00383276"/>
    <w:rsid w:val="003C7E26"/>
    <w:rsid w:val="003D040E"/>
    <w:rsid w:val="003D3155"/>
    <w:rsid w:val="00404A6F"/>
    <w:rsid w:val="004100EF"/>
    <w:rsid w:val="00452D29"/>
    <w:rsid w:val="00455E33"/>
    <w:rsid w:val="00484E3B"/>
    <w:rsid w:val="00490D0F"/>
    <w:rsid w:val="004A5335"/>
    <w:rsid w:val="004C1369"/>
    <w:rsid w:val="004E0103"/>
    <w:rsid w:val="004F623B"/>
    <w:rsid w:val="00541410"/>
    <w:rsid w:val="00560B2B"/>
    <w:rsid w:val="005A4B63"/>
    <w:rsid w:val="005D2595"/>
    <w:rsid w:val="005F4476"/>
    <w:rsid w:val="00600D0A"/>
    <w:rsid w:val="00606388"/>
    <w:rsid w:val="0063465D"/>
    <w:rsid w:val="006359F1"/>
    <w:rsid w:val="00644978"/>
    <w:rsid w:val="006527C9"/>
    <w:rsid w:val="00675FD5"/>
    <w:rsid w:val="006816E1"/>
    <w:rsid w:val="006B3622"/>
    <w:rsid w:val="006D64CA"/>
    <w:rsid w:val="00704EAB"/>
    <w:rsid w:val="00783422"/>
    <w:rsid w:val="007A3CE9"/>
    <w:rsid w:val="007D64EF"/>
    <w:rsid w:val="007E0D96"/>
    <w:rsid w:val="007F373C"/>
    <w:rsid w:val="00844D1B"/>
    <w:rsid w:val="00851312"/>
    <w:rsid w:val="00880284"/>
    <w:rsid w:val="00883667"/>
    <w:rsid w:val="00894F8E"/>
    <w:rsid w:val="008A1907"/>
    <w:rsid w:val="008D7CC6"/>
    <w:rsid w:val="0091160F"/>
    <w:rsid w:val="009249B7"/>
    <w:rsid w:val="009314B9"/>
    <w:rsid w:val="009322EB"/>
    <w:rsid w:val="00936A83"/>
    <w:rsid w:val="009C649D"/>
    <w:rsid w:val="009D42B4"/>
    <w:rsid w:val="009D6112"/>
    <w:rsid w:val="009E2205"/>
    <w:rsid w:val="009E2386"/>
    <w:rsid w:val="00A11984"/>
    <w:rsid w:val="00A24EF6"/>
    <w:rsid w:val="00A25AD7"/>
    <w:rsid w:val="00A30B72"/>
    <w:rsid w:val="00A35CE7"/>
    <w:rsid w:val="00A40827"/>
    <w:rsid w:val="00A77D7B"/>
    <w:rsid w:val="00AD79FA"/>
    <w:rsid w:val="00B15E26"/>
    <w:rsid w:val="00B213F1"/>
    <w:rsid w:val="00B34B9E"/>
    <w:rsid w:val="00B4093D"/>
    <w:rsid w:val="00B776D4"/>
    <w:rsid w:val="00BC67AE"/>
    <w:rsid w:val="00BD7E9B"/>
    <w:rsid w:val="00C25517"/>
    <w:rsid w:val="00C62648"/>
    <w:rsid w:val="00C6277F"/>
    <w:rsid w:val="00C76184"/>
    <w:rsid w:val="00C77B90"/>
    <w:rsid w:val="00CD3682"/>
    <w:rsid w:val="00CF14BF"/>
    <w:rsid w:val="00D349A8"/>
    <w:rsid w:val="00D40631"/>
    <w:rsid w:val="00D67F55"/>
    <w:rsid w:val="00DA7438"/>
    <w:rsid w:val="00DC0B5D"/>
    <w:rsid w:val="00E07B2E"/>
    <w:rsid w:val="00E54E75"/>
    <w:rsid w:val="00E55D79"/>
    <w:rsid w:val="00E60BBE"/>
    <w:rsid w:val="00E71237"/>
    <w:rsid w:val="00E72966"/>
    <w:rsid w:val="00E747F4"/>
    <w:rsid w:val="00E84A8C"/>
    <w:rsid w:val="00E9005F"/>
    <w:rsid w:val="00EA13CD"/>
    <w:rsid w:val="00EA2347"/>
    <w:rsid w:val="00EC311B"/>
    <w:rsid w:val="00ED6175"/>
    <w:rsid w:val="00EF2A35"/>
    <w:rsid w:val="00F2428A"/>
    <w:rsid w:val="00F312B4"/>
    <w:rsid w:val="00F464C6"/>
    <w:rsid w:val="00F62AA2"/>
    <w:rsid w:val="00F917F4"/>
    <w:rsid w:val="00FC2027"/>
    <w:rsid w:val="00FC6F23"/>
    <w:rsid w:val="00FF1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42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22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62648"/>
    <w:rPr>
      <w:color w:val="0000FF" w:themeColor="hyperlink"/>
      <w:u w:val="single"/>
    </w:rPr>
  </w:style>
  <w:style w:type="paragraph" w:styleId="2">
    <w:name w:val="Body Text Indent 2"/>
    <w:basedOn w:val="a"/>
    <w:link w:val="20"/>
    <w:rsid w:val="00C6264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C626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D040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D040E"/>
  </w:style>
  <w:style w:type="paragraph" w:styleId="a8">
    <w:name w:val="header"/>
    <w:basedOn w:val="a"/>
    <w:link w:val="a9"/>
    <w:uiPriority w:val="99"/>
    <w:rsid w:val="00C76184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76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341285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154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54BF2"/>
  </w:style>
  <w:style w:type="paragraph" w:styleId="ad">
    <w:name w:val="Normal (Web)"/>
    <w:basedOn w:val="a"/>
    <w:uiPriority w:val="99"/>
    <w:semiHidden/>
    <w:unhideWhenUsed/>
    <w:rsid w:val="002F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2428A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42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22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62648"/>
    <w:rPr>
      <w:color w:val="0000FF" w:themeColor="hyperlink"/>
      <w:u w:val="single"/>
    </w:rPr>
  </w:style>
  <w:style w:type="paragraph" w:styleId="2">
    <w:name w:val="Body Text Indent 2"/>
    <w:basedOn w:val="a"/>
    <w:link w:val="20"/>
    <w:rsid w:val="00C6264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C626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D040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D040E"/>
  </w:style>
  <w:style w:type="paragraph" w:styleId="a8">
    <w:name w:val="header"/>
    <w:basedOn w:val="a"/>
    <w:link w:val="a9"/>
    <w:uiPriority w:val="99"/>
    <w:rsid w:val="00C76184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76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341285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154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54BF2"/>
  </w:style>
  <w:style w:type="paragraph" w:styleId="ad">
    <w:name w:val="Normal (Web)"/>
    <w:basedOn w:val="a"/>
    <w:uiPriority w:val="99"/>
    <w:semiHidden/>
    <w:unhideWhenUsed/>
    <w:rsid w:val="002F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2428A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18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5.xlsx"/><Relationship Id="rId1" Type="http://schemas.openxmlformats.org/officeDocument/2006/relationships/themeOverride" Target="../theme/themeOverride1.xml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6.xlsx"/><Relationship Id="rId1" Type="http://schemas.openxmlformats.org/officeDocument/2006/relationships/themeOverride" Target="../theme/themeOverrid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chemeClr val="bg1"/>
        </a:solidFill>
        <a:ln w="12700">
          <a:solidFill>
            <a:schemeClr val="tx1"/>
          </a:solidFill>
          <a:prstDash val="solid"/>
        </a:ln>
      </c:spPr>
    </c:sideWall>
    <c:backWall>
      <c:thickness val="0"/>
      <c:spPr>
        <a:solidFill>
          <a:schemeClr val="bg1"/>
        </a:solidFill>
        <a:ln w="12700">
          <a:solidFill>
            <a:schemeClr val="tx1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0.10467289719626169"/>
          <c:y val="0.16112289469351387"/>
          <c:w val="0.53761657452392919"/>
          <c:h val="0.67662524656742629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Обращения</c:v>
                </c:pt>
              </c:strCache>
            </c:strRef>
          </c:tx>
          <c:spPr>
            <a:solidFill>
              <a:srgbClr val="FF0000"/>
            </a:solidFill>
            <a:ln w="12677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2.6349844567301429E-2"/>
                  <c:y val="-2.5799684522193347E-2"/>
                </c:manualLayout>
              </c:layout>
              <c:spPr>
                <a:noFill/>
                <a:ln w="25354">
                  <a:noFill/>
                </a:ln>
              </c:spPr>
              <c:txPr>
                <a:bodyPr/>
                <a:lstStyle/>
                <a:p>
                  <a:pPr>
                    <a:defRPr sz="1600" b="1" i="0" u="none" strike="noStrike" baseline="0">
                      <a:solidFill>
                        <a:srgbClr val="000000"/>
                      </a:solidFill>
                      <a:latin typeface="Calibri"/>
                      <a:ea typeface="Calibri"/>
                      <a:cs typeface="Calibri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3.0400588224344296E-2"/>
                  <c:y val="-3.4581345435268883E-2"/>
                </c:manualLayout>
              </c:layout>
              <c:spPr>
                <a:noFill/>
                <a:ln w="25354">
                  <a:noFill/>
                </a:ln>
              </c:spPr>
              <c:txPr>
                <a:bodyPr/>
                <a:lstStyle/>
                <a:p>
                  <a:pPr>
                    <a:defRPr sz="1600" b="1" i="0" u="none" strike="noStrike" baseline="0">
                      <a:solidFill>
                        <a:srgbClr val="000000"/>
                      </a:solidFill>
                      <a:latin typeface="Calibri"/>
                      <a:ea typeface="Calibri"/>
                      <a:cs typeface="Calibri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1.5206812652068127E-2"/>
                  <c:y val="-1.582278481012658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1.5206812652068127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 w="25354">
                <a:noFill/>
              </a:ln>
            </c:spPr>
            <c:txPr>
              <a:bodyPr/>
              <a:lstStyle/>
              <a:p>
                <a:pPr>
                  <a:defRPr sz="1073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Sheet1!$B$1:$C$1</c:f>
              <c:strCache>
                <c:ptCount val="2"/>
                <c:pt idx="0">
                  <c:v>2014 г.</c:v>
                </c:pt>
                <c:pt idx="1">
                  <c:v>2015 г.</c:v>
                </c:pt>
              </c:strCache>
            </c:strRef>
          </c:cat>
          <c:val>
            <c:numRef>
              <c:f>Sheet1!$B$2:$C$2</c:f>
              <c:numCache>
                <c:formatCode>General</c:formatCode>
                <c:ptCount val="2"/>
                <c:pt idx="0">
                  <c:v>813</c:v>
                </c:pt>
                <c:pt idx="1">
                  <c:v>1059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130831872"/>
        <c:axId val="49533440"/>
        <c:axId val="0"/>
      </c:bar3DChart>
      <c:catAx>
        <c:axId val="13083187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69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73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49533440"/>
        <c:crosses val="autoZero"/>
        <c:auto val="1"/>
        <c:lblAlgn val="ctr"/>
        <c:lblOffset val="100"/>
        <c:tickMarkSkip val="1"/>
        <c:noMultiLvlLbl val="0"/>
      </c:catAx>
      <c:valAx>
        <c:axId val="49533440"/>
        <c:scaling>
          <c:orientation val="minMax"/>
        </c:scaling>
        <c:delete val="0"/>
        <c:axPos val="l"/>
        <c:majorGridlines>
          <c:spPr>
            <a:ln w="3169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69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73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30831872"/>
        <c:crosses val="autoZero"/>
        <c:crossBetween val="between"/>
      </c:valAx>
      <c:spPr>
        <a:noFill/>
        <a:ln w="25354">
          <a:noFill/>
        </a:ln>
      </c:spPr>
    </c:plotArea>
    <c:legend>
      <c:legendPos val="r"/>
      <c:legendEntry>
        <c:idx val="0"/>
        <c:txPr>
          <a:bodyPr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</c:legendEntry>
      <c:layout>
        <c:manualLayout>
          <c:xMode val="edge"/>
          <c:yMode val="edge"/>
          <c:x val="0.70538430036670952"/>
          <c:y val="0.39561822013627607"/>
          <c:w val="0.23512965134677313"/>
          <c:h val="0.14590173460789727"/>
        </c:manualLayout>
      </c:layout>
      <c:overlay val="0"/>
      <c:spPr>
        <a:noFill/>
        <a:ln w="3169">
          <a:solidFill>
            <a:srgbClr val="000000"/>
          </a:solidFill>
          <a:prstDash val="solid"/>
        </a:ln>
      </c:spPr>
      <c:txPr>
        <a:bodyPr/>
        <a:lstStyle/>
        <a:p>
          <a:pPr>
            <a:defRPr sz="983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noFill/>
    <a:ln w="6350" cap="flat" cmpd="sng" algn="ctr">
      <a:solidFill>
        <a:srgbClr val="000000"/>
      </a:solidFill>
      <a:prstDash val="solid"/>
      <a:miter lim="800000"/>
      <a:headEnd type="none" w="med" len="med"/>
      <a:tailEnd type="none" w="med" len="med"/>
    </a:ln>
  </c:spPr>
  <c:txPr>
    <a:bodyPr/>
    <a:lstStyle/>
    <a:p>
      <a:pPr>
        <a:defRPr sz="1073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8667563930013462"/>
          <c:y val="1.9099590723055934E-2"/>
          <c:w val="0.41318977119784661"/>
          <c:h val="0.85948158253751705"/>
        </c:manualLayout>
      </c:layout>
      <c:barChart>
        <c:barDir val="bar"/>
        <c:grouping val="clustered"/>
        <c:varyColors val="0"/>
        <c:ser>
          <c:idx val="1"/>
          <c:order val="0"/>
          <c:tx>
            <c:strRef>
              <c:f>Sheet1!$A$2</c:f>
              <c:strCache>
                <c:ptCount val="1"/>
                <c:pt idx="0">
                  <c:v>в 2014 году</c:v>
                </c:pt>
              </c:strCache>
            </c:strRef>
          </c:tx>
          <c:spPr>
            <a:solidFill>
              <a:schemeClr val="tx2">
                <a:lumMod val="60000"/>
                <a:lumOff val="40000"/>
              </a:schemeClr>
            </a:solidFill>
            <a:ln w="12667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333">
                <a:noFill/>
              </a:ln>
            </c:spPr>
            <c:txPr>
              <a:bodyPr/>
              <a:lstStyle/>
              <a:p>
                <a:pPr>
                  <a:defRPr sz="1720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Sheet1!$B$1:$H$1</c:f>
              <c:strCache>
                <c:ptCount val="7"/>
                <c:pt idx="0">
                  <c:v>Иные территории</c:v>
                </c:pt>
                <c:pt idx="1">
                  <c:v>Северный </c:v>
                </c:pt>
                <c:pt idx="2">
                  <c:v>Южный </c:v>
                </c:pt>
                <c:pt idx="3">
                  <c:v>Горнозаводской </c:v>
                </c:pt>
                <c:pt idx="4">
                  <c:v>Западный </c:v>
                </c:pt>
                <c:pt idx="5">
                  <c:v>Восточный </c:v>
                </c:pt>
                <c:pt idx="6">
                  <c:v>город Екатеринбург</c:v>
                </c:pt>
              </c:strCache>
            </c:strRef>
          </c:cat>
          <c:val>
            <c:numRef>
              <c:f>Sheet1!$B$2:$H$2</c:f>
              <c:numCache>
                <c:formatCode>General</c:formatCode>
                <c:ptCount val="7"/>
                <c:pt idx="0">
                  <c:v>171</c:v>
                </c:pt>
                <c:pt idx="1">
                  <c:v>55</c:v>
                </c:pt>
                <c:pt idx="2">
                  <c:v>51</c:v>
                </c:pt>
                <c:pt idx="3">
                  <c:v>65</c:v>
                </c:pt>
                <c:pt idx="4">
                  <c:v>87</c:v>
                </c:pt>
                <c:pt idx="5">
                  <c:v>75</c:v>
                </c:pt>
                <c:pt idx="6">
                  <c:v>309</c:v>
                </c:pt>
              </c:numCache>
            </c:numRef>
          </c:val>
        </c:ser>
        <c:ser>
          <c:idx val="0"/>
          <c:order val="1"/>
          <c:tx>
            <c:strRef>
              <c:f>Sheet1!$A$3</c:f>
              <c:strCache>
                <c:ptCount val="1"/>
                <c:pt idx="0">
                  <c:v>в 2015 году </c:v>
                </c:pt>
              </c:strCache>
            </c:strRef>
          </c:tx>
          <c:spPr>
            <a:solidFill>
              <a:srgbClr val="FF0000"/>
            </a:solidFill>
          </c:spPr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Sheet1!$B$1:$H$1</c:f>
              <c:strCache>
                <c:ptCount val="7"/>
                <c:pt idx="0">
                  <c:v>Иные территории</c:v>
                </c:pt>
                <c:pt idx="1">
                  <c:v>Северный </c:v>
                </c:pt>
                <c:pt idx="2">
                  <c:v>Южный </c:v>
                </c:pt>
                <c:pt idx="3">
                  <c:v>Горнозаводской </c:v>
                </c:pt>
                <c:pt idx="4">
                  <c:v>Западный </c:v>
                </c:pt>
                <c:pt idx="5">
                  <c:v>Восточный </c:v>
                </c:pt>
                <c:pt idx="6">
                  <c:v>город Екатеринбург</c:v>
                </c:pt>
              </c:strCache>
            </c:strRef>
          </c:cat>
          <c:val>
            <c:numRef>
              <c:f>Sheet1!$B$3:$H$3</c:f>
              <c:numCache>
                <c:formatCode>General</c:formatCode>
                <c:ptCount val="7"/>
                <c:pt idx="0">
                  <c:v>167</c:v>
                </c:pt>
                <c:pt idx="1">
                  <c:v>80</c:v>
                </c:pt>
                <c:pt idx="2">
                  <c:v>86</c:v>
                </c:pt>
                <c:pt idx="3">
                  <c:v>101</c:v>
                </c:pt>
                <c:pt idx="4">
                  <c:v>105</c:v>
                </c:pt>
                <c:pt idx="5">
                  <c:v>109</c:v>
                </c:pt>
                <c:pt idx="6">
                  <c:v>372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74461952"/>
        <c:axId val="86476480"/>
      </c:barChart>
      <c:catAx>
        <c:axId val="174461952"/>
        <c:scaling>
          <c:orientation val="minMax"/>
        </c:scaling>
        <c:delete val="0"/>
        <c:axPos val="l"/>
        <c:majorGridlines>
          <c:spPr>
            <a:ln w="3167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out"/>
        <c:tickLblPos val="nextTo"/>
        <c:spPr>
          <a:ln w="3167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997" b="0" i="1" u="none" strike="noStrike" baseline="0">
                <a:solidFill>
                  <a:srgbClr val="000000"/>
                </a:solidFill>
                <a:latin typeface="BrowalliaUPC"/>
                <a:ea typeface="BrowalliaUPC"/>
                <a:cs typeface="BrowalliaUPC"/>
              </a:defRPr>
            </a:pPr>
            <a:endParaRPr lang="ru-RU"/>
          </a:p>
        </c:txPr>
        <c:crossAx val="8647648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86476480"/>
        <c:scaling>
          <c:orientation val="minMax"/>
        </c:scaling>
        <c:delete val="0"/>
        <c:axPos val="b"/>
        <c:majorGridlines>
          <c:spPr>
            <a:ln w="3167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67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8" b="0" i="1" u="none" strike="noStrike" baseline="0">
                <a:solidFill>
                  <a:srgbClr val="0000FF"/>
                </a:solidFill>
                <a:latin typeface="Times New Roman"/>
                <a:ea typeface="Times New Roman"/>
                <a:cs typeface="Times New Roman"/>
              </a:defRPr>
            </a:pPr>
            <a:endParaRPr lang="ru-RU"/>
          </a:p>
        </c:txPr>
        <c:crossAx val="174461952"/>
        <c:crosses val="autoZero"/>
        <c:crossBetween val="between"/>
        <c:majorUnit val="500"/>
      </c:valAx>
      <c:spPr>
        <a:solidFill>
          <a:schemeClr val="accent2">
            <a:lumMod val="20000"/>
            <a:lumOff val="80000"/>
          </a:schemeClr>
        </a:solidFill>
        <a:ln w="3167">
          <a:solidFill>
            <a:srgbClr val="00000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73889636608344567"/>
          <c:y val="0.39154160982264663"/>
          <c:w val="0.22998341625207297"/>
          <c:h val="0.10993729232121847"/>
        </c:manualLayout>
      </c:layout>
      <c:overlay val="1"/>
      <c:spPr>
        <a:solidFill>
          <a:schemeClr val="accent2">
            <a:lumMod val="20000"/>
            <a:lumOff val="80000"/>
          </a:schemeClr>
        </a:solidFill>
        <a:ln w="12700">
          <a:solidFill>
            <a:schemeClr val="tx1"/>
          </a:solidFill>
          <a:prstDash val="solid"/>
        </a:ln>
      </c:spPr>
      <c:txPr>
        <a:bodyPr/>
        <a:lstStyle/>
        <a:p>
          <a:pPr>
            <a:defRPr sz="1581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noFill/>
    <a:ln w="12700" cap="sq" cmpd="sng">
      <a:solidFill>
        <a:schemeClr val="tx1"/>
      </a:solidFill>
      <a:prstDash val="solid"/>
      <a:bevel/>
    </a:ln>
    <a:effectLst/>
  </c:spPr>
  <c:txPr>
    <a:bodyPr/>
    <a:lstStyle/>
    <a:p>
      <a:pPr>
        <a:defRPr sz="1720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00">
                <a:latin typeface="Aharoni" panose="02010803020104030203" pitchFamily="2" charset="-79"/>
                <a:cs typeface="Aharoni" panose="02010803020104030203" pitchFamily="2" charset="-79"/>
              </a:defRPr>
            </a:pPr>
            <a:r>
              <a:rPr lang="ru-RU" sz="1400" i="0">
                <a:solidFill>
                  <a:schemeClr val="tx1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Количество обращений  граждан </a:t>
            </a:r>
            <a:endParaRPr lang="en-US" sz="1400" i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endParaRPr>
          </a:p>
          <a:p>
            <a:pPr>
              <a:defRPr sz="1400">
                <a:latin typeface="Aharoni" panose="02010803020104030203" pitchFamily="2" charset="-79"/>
                <a:cs typeface="Aharoni" panose="02010803020104030203" pitchFamily="2" charset="-79"/>
              </a:defRPr>
            </a:pPr>
            <a:r>
              <a:rPr lang="ru-RU" sz="1400" i="0">
                <a:solidFill>
                  <a:schemeClr val="tx1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по муниципальным образованиям</a:t>
            </a:r>
            <a:endParaRPr lang="en-US" sz="1400" i="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layout/>
      <c:overlay val="0"/>
    </c:title>
    <c:autoTitleDeleted val="0"/>
    <c:plotArea>
      <c:layout>
        <c:manualLayout>
          <c:layoutTarget val="inner"/>
          <c:xMode val="edge"/>
          <c:yMode val="edge"/>
          <c:x val="7.3493686273086833E-2"/>
          <c:y val="0.15013466281538929"/>
          <c:w val="0.88780223036636552"/>
          <c:h val="0.77370716461647115"/>
        </c:manualLayout>
      </c:layout>
      <c:doughnut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Значения Y</c:v>
                </c:pt>
              </c:strCache>
            </c:strRef>
          </c:tx>
          <c:spPr>
            <a:solidFill>
              <a:srgbClr val="FFFF00"/>
            </a:solidFill>
            <a:ln w="12700" cmpd="sng">
              <a:solidFill>
                <a:schemeClr val="tx1"/>
              </a:solidFill>
            </a:ln>
          </c:spPr>
          <c:dLbls>
            <c:dLbl>
              <c:idx val="1"/>
              <c:layout/>
              <c:tx>
                <c:rich>
                  <a:bodyPr/>
                  <a:lstStyle/>
                  <a:p>
                    <a:r>
                      <a:rPr lang="ru-RU"/>
                      <a:t>город Нижний </a:t>
                    </a:r>
                  </a:p>
                  <a:p>
                    <a:r>
                      <a:rPr lang="ru-RU"/>
                      <a:t>Тагил</a:t>
                    </a:r>
                  </a:p>
                </c:rich>
              </c:tx>
              <c:showLegendKey val="0"/>
              <c:showVal val="0"/>
              <c:showCatName val="1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-2.7672973170020767E-3"/>
                  <c:y val="-9.3717489859222146E-3"/>
                </c:manualLayout>
              </c:layout>
              <c:showLegendKey val="0"/>
              <c:showVal val="0"/>
              <c:showCatName val="1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4.9030329542140564E-4"/>
                  <c:y val="3.2636602242900898E-3"/>
                </c:manualLayout>
              </c:layout>
              <c:showLegendKey val="0"/>
              <c:showVal val="0"/>
              <c:showCatName val="1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2.383295838020251E-2"/>
                  <c:y val="-9.4600298078318101E-3"/>
                </c:manualLayout>
              </c:layout>
              <c:showLegendKey val="0"/>
              <c:showVal val="0"/>
              <c:showCatName val="1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-4.3672701685047138E-2"/>
                  <c:y val="-2.6550152611113435E-2"/>
                </c:manualLayout>
              </c:layout>
              <c:showLegendKey val="0"/>
              <c:showVal val="0"/>
              <c:showCatName val="1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-3.0934728868349158E-2"/>
                  <c:y val="-1.8741284196080187E-2"/>
                </c:manualLayout>
              </c:layout>
              <c:showLegendKey val="0"/>
              <c:showVal val="0"/>
              <c:showCatName val="1"/>
              <c:showSerName val="0"/>
              <c:showPercent val="0"/>
              <c:showBubbleSize val="0"/>
            </c:dLbl>
            <c:dLbl>
              <c:idx val="7"/>
              <c:layout>
                <c:manualLayout>
                  <c:x val="-3.2754418801781399E-2"/>
                  <c:y val="-1.8741284196080073E-2"/>
                </c:manualLayout>
              </c:layout>
              <c:showLegendKey val="0"/>
              <c:showVal val="0"/>
              <c:showCatName val="1"/>
              <c:showSerName val="0"/>
              <c:showPercent val="0"/>
              <c:showBubbleSize val="0"/>
            </c:dLbl>
            <c:dLbl>
              <c:idx val="8"/>
              <c:layout>
                <c:manualLayout>
                  <c:x val="-4.1852868468943046E-2"/>
                  <c:y val="-1.8741284196080073E-2"/>
                </c:manualLayout>
              </c:layout>
              <c:showLegendKey val="0"/>
              <c:showVal val="0"/>
              <c:showCatName val="1"/>
              <c:showSerName val="0"/>
              <c:showPercent val="0"/>
              <c:showBubbleSize val="0"/>
            </c:dLbl>
            <c:dLbl>
              <c:idx val="9"/>
              <c:layout>
                <c:manualLayout>
                  <c:x val="-3.4574108735213833E-2"/>
                  <c:y val="-1.2494312438359014E-2"/>
                </c:manualLayout>
              </c:layout>
              <c:showLegendKey val="0"/>
              <c:showVal val="0"/>
              <c:showCatName val="1"/>
              <c:showSerName val="0"/>
              <c:showPercent val="0"/>
              <c:showBubbleSize val="0"/>
            </c:dLbl>
            <c:dLbl>
              <c:idx val="10"/>
              <c:layout>
                <c:manualLayout>
                  <c:x val="-0.17105085374263651"/>
                  <c:y val="2.18648315620933E-2"/>
                </c:manualLayout>
              </c:layout>
              <c:showLegendKey val="0"/>
              <c:showVal val="0"/>
              <c:showCatName val="1"/>
              <c:showSerName val="0"/>
              <c:showPercent val="0"/>
              <c:showBubbleSize val="0"/>
            </c:dLbl>
            <c:dLbl>
              <c:idx val="11"/>
              <c:layout>
                <c:manualLayout>
                  <c:x val="-7.2787597337292134E-2"/>
                  <c:y val="3.7482568392160145E-2"/>
                </c:manualLayout>
              </c:layout>
              <c:showLegendKey val="0"/>
              <c:showVal val="0"/>
              <c:showCatName val="1"/>
              <c:showSerName val="0"/>
              <c:showPercent val="0"/>
              <c:showBubbleSize val="0"/>
            </c:dLbl>
            <c:dLbl>
              <c:idx val="12"/>
              <c:layout>
                <c:manualLayout>
                  <c:x val="-2.0016589267755337E-2"/>
                  <c:y val="1.8741284196080187E-2"/>
                </c:manualLayout>
              </c:layout>
              <c:showLegendKey val="0"/>
              <c:showVal val="0"/>
              <c:showCatName val="1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200" b="1" i="0" spc="-100" baseline="0">
                    <a:solidFill>
                      <a:schemeClr val="tx1"/>
                    </a:solidFill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0"/>
            <c:showBubbleSize val="0"/>
            <c:showLeaderLines val="1"/>
          </c:dLbls>
          <c:cat>
            <c:strRef>
              <c:f>Лист1!$A$2:$A$14</c:f>
              <c:strCache>
                <c:ptCount val="5"/>
                <c:pt idx="0">
                  <c:v>МО "город Екатеринбург"</c:v>
                </c:pt>
                <c:pt idx="1">
                  <c:v>город Нижний Тагил</c:v>
                </c:pt>
                <c:pt idx="2">
                  <c:v>МО город Каменск- Уральский</c:v>
                </c:pt>
                <c:pt idx="3">
                  <c:v>ГО Первоуральск</c:v>
                </c:pt>
                <c:pt idx="4">
                  <c:v>Серовский ГО</c:v>
                </c:pt>
              </c:strCache>
            </c:strRef>
          </c:cat>
          <c:val>
            <c:numRef>
              <c:f>Лист1!$B$2:$B$14</c:f>
              <c:numCache>
                <c:formatCode>General</c:formatCode>
                <c:ptCount val="13"/>
                <c:pt idx="0">
                  <c:v>372</c:v>
                </c:pt>
                <c:pt idx="1">
                  <c:v>71</c:v>
                </c:pt>
                <c:pt idx="2">
                  <c:v>66</c:v>
                </c:pt>
                <c:pt idx="3">
                  <c:v>59</c:v>
                </c:pt>
                <c:pt idx="4">
                  <c:v>116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  <c:holeSize val="37"/>
      </c:doughnutChart>
      <c:spPr>
        <a:noFill/>
        <a:ln w="25400">
          <a:noFill/>
        </a:ln>
      </c:spPr>
    </c:plotArea>
    <c:plotVisOnly val="1"/>
    <c:dispBlanksAs val="gap"/>
    <c:showDLblsOverMax val="0"/>
  </c:chart>
  <c:spPr>
    <a:noFill/>
    <a:ln w="12700">
      <a:solidFill>
        <a:schemeClr val="tx1"/>
      </a:solidFill>
    </a:ln>
  </c:sp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58"/>
      <c:rotY val="20"/>
      <c:depthPercent val="100"/>
      <c:rAngAx val="1"/>
    </c:view3D>
    <c:floor>
      <c:thickness val="0"/>
      <c:spPr>
        <a:solidFill>
          <a:srgbClr val="CCCCFF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FFFFFF"/>
        </a:solidFill>
        <a:ln w="12700">
          <a:solidFill>
            <a:srgbClr val="FFFFFF"/>
          </a:solidFill>
          <a:prstDash val="solid"/>
        </a:ln>
      </c:spPr>
    </c:sideWall>
    <c:backWall>
      <c:thickness val="0"/>
      <c:spPr>
        <a:solidFill>
          <a:srgbClr val="FFFFFF"/>
        </a:solidFill>
        <a:ln w="12700">
          <a:solidFill>
            <a:srgbClr val="FFFFFF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6.7363306948836119E-2"/>
          <c:y val="5.9881830964856712E-2"/>
          <c:w val="0.77298050139275765"/>
          <c:h val="0.8027777777777777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2014 год</c:v>
                </c:pt>
              </c:strCache>
            </c:strRef>
          </c:tx>
          <c:spPr>
            <a:solidFill>
              <a:srgbClr val="CCFFFF"/>
            </a:solidFill>
            <a:ln w="12665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3.0342171795454502E-3"/>
                  <c:y val="-2.887441179826946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7.0925902167750521E-3"/>
                  <c:y val="-2.611794180807613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-4.6391974975730776E-3"/>
                  <c:y val="-4.612580178814546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 w="25330">
                <a:noFill/>
              </a:ln>
            </c:spPr>
            <c:txPr>
              <a:bodyPr/>
              <a:lstStyle/>
              <a:p>
                <a:pPr>
                  <a:defRPr sz="1197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Sheet1!$B$1:$E$1</c:f>
              <c:strCache>
                <c:ptCount val="3"/>
                <c:pt idx="0">
                  <c:v>апрель</c:v>
                </c:pt>
                <c:pt idx="1">
                  <c:v>май</c:v>
                </c:pt>
                <c:pt idx="2">
                  <c:v>июнь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277</c:v>
                </c:pt>
                <c:pt idx="1">
                  <c:v>283</c:v>
                </c:pt>
                <c:pt idx="2">
                  <c:v>253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2015 год</c:v>
                </c:pt>
              </c:strCache>
            </c:strRef>
          </c:tx>
          <c:spPr>
            <a:solidFill>
              <a:srgbClr val="FF0000"/>
            </a:solidFill>
            <a:ln w="12665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1.6669775871826831E-2"/>
                  <c:y val="-3.809786143042280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1.9914608276705138E-2"/>
                  <c:y val="-1.410024281724142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1.8630865039507855E-2"/>
                  <c:y val="-5.688691087527102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 w="25330">
                <a:noFill/>
              </a:ln>
            </c:spPr>
            <c:txPr>
              <a:bodyPr/>
              <a:lstStyle/>
              <a:p>
                <a:pPr>
                  <a:defRPr sz="1197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Sheet1!$B$1:$E$1</c:f>
              <c:strCache>
                <c:ptCount val="3"/>
                <c:pt idx="0">
                  <c:v>апрель</c:v>
                </c:pt>
                <c:pt idx="1">
                  <c:v>май</c:v>
                </c:pt>
                <c:pt idx="2">
                  <c:v>июнь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  <c:pt idx="0">
                  <c:v>483</c:v>
                </c:pt>
                <c:pt idx="1">
                  <c:v>294</c:v>
                </c:pt>
                <c:pt idx="2">
                  <c:v>282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gapDepth val="0"/>
        <c:shape val="box"/>
        <c:axId val="174463488"/>
        <c:axId val="153135936"/>
        <c:axId val="0"/>
      </c:bar3DChart>
      <c:catAx>
        <c:axId val="17446348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66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97" b="0" i="1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53135936"/>
        <c:crosses val="autoZero"/>
        <c:auto val="0"/>
        <c:lblAlgn val="ctr"/>
        <c:lblOffset val="100"/>
        <c:tickLblSkip val="1"/>
        <c:tickMarkSkip val="1"/>
        <c:noMultiLvlLbl val="0"/>
      </c:catAx>
      <c:valAx>
        <c:axId val="153135936"/>
        <c:scaling>
          <c:orientation val="minMax"/>
        </c:scaling>
        <c:delete val="0"/>
        <c:axPos val="l"/>
        <c:majorGridlines>
          <c:spPr>
            <a:ln w="3166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66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97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74463488"/>
        <c:crosses val="autoZero"/>
        <c:crossBetween val="between"/>
      </c:valAx>
      <c:spPr>
        <a:noFill/>
        <a:ln w="25330">
          <a:noFill/>
        </a:ln>
      </c:spPr>
    </c:plotArea>
    <c:legend>
      <c:legendPos val="r"/>
      <c:layout>
        <c:manualLayout>
          <c:xMode val="edge"/>
          <c:yMode val="edge"/>
          <c:x val="0.84679665738161547"/>
          <c:y val="0.4194444444444444"/>
          <c:w val="0.14763231197771587"/>
          <c:h val="0.16388888888888889"/>
        </c:manualLayout>
      </c:layout>
      <c:overlay val="0"/>
      <c:spPr>
        <a:noFill/>
        <a:ln w="3166">
          <a:solidFill>
            <a:srgbClr val="000000"/>
          </a:solidFill>
          <a:prstDash val="solid"/>
        </a:ln>
      </c:spPr>
      <c:txPr>
        <a:bodyPr/>
        <a:lstStyle/>
        <a:p>
          <a:pPr>
            <a:defRPr sz="1097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197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Отдел обеспечения и контроля социальных выплат</c:v>
                </c:pt>
              </c:strCache>
            </c:strRef>
          </c:tx>
          <c:spPr>
            <a:solidFill>
              <a:srgbClr val="FF0000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1.6203703703703703E-2"/>
                  <c:y val="-3.174603174603174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Лист1!$B$2</c:f>
              <c:numCache>
                <c:formatCode>General</c:formatCode>
                <c:ptCount val="1"/>
                <c:pt idx="0">
                  <c:v>273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Отдел обеспечения социальных гарантий</c:v>
                </c:pt>
              </c:strCache>
            </c:strRef>
          </c:tx>
          <c:spPr>
            <a:solidFill>
              <a:sysClr val="window" lastClr="FFFFFF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1.6203703703703703E-2"/>
                  <c:y val="-2.380952380952380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Лист1!$C$2</c:f>
              <c:numCache>
                <c:formatCode>General</c:formatCode>
                <c:ptCount val="1"/>
                <c:pt idx="0">
                  <c:v>174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Отдел организации и контроля деятельности по опеке и попечительству</c:v>
                </c:pt>
              </c:strCache>
            </c:strRef>
          </c:tx>
          <c:spPr>
            <a:solidFill>
              <a:srgbClr val="00B050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2.5462962962962962E-2"/>
                  <c:y val="-2.777777777777774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Лист1!$D$2</c:f>
              <c:numCache>
                <c:formatCode>General</c:formatCode>
                <c:ptCount val="1"/>
                <c:pt idx="0">
                  <c:v>170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Отдел технологий социального обслуживания граждан</c:v>
                </c:pt>
              </c:strCache>
            </c:strRef>
          </c:tx>
          <c:spPr>
            <a:solidFill>
              <a:sysClr val="windowText" lastClr="000000">
                <a:lumMod val="50000"/>
                <a:lumOff val="50000"/>
              </a:sysClr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2.0833333333333332E-2"/>
                  <c:y val="-2.380952380952380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Лист1!$E$2</c:f>
              <c:numCache>
                <c:formatCode>General</c:formatCode>
                <c:ptCount val="1"/>
                <c:pt idx="0">
                  <c:v>156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Отдел семейной политики и социального обслуживания семьи и детей</c:v>
                </c:pt>
              </c:strCache>
            </c:strRef>
          </c:tx>
          <c:spPr>
            <a:solidFill>
              <a:srgbClr val="00B0F0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1.8518518518518517E-2"/>
                  <c:y val="-1.98412698412698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Лист1!$F$2</c:f>
              <c:numCache>
                <c:formatCode>General</c:formatCode>
                <c:ptCount val="1"/>
                <c:pt idx="0">
                  <c:v>107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Отдел по делам инвалидов</c:v>
                </c:pt>
              </c:strCache>
            </c:strRef>
          </c:tx>
          <c:spPr>
            <a:solidFill>
              <a:srgbClr val="C0504D">
                <a:lumMod val="50000"/>
              </a:srgbClr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1.2073165575492579E-2"/>
                  <c:y val="-2.58227336967494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Лист1!$G$2</c:f>
              <c:numCache>
                <c:formatCode>General</c:formatCode>
                <c:ptCount val="1"/>
                <c:pt idx="0">
                  <c:v>49</c:v>
                </c:pt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Остальные</c:v>
                </c:pt>
              </c:strCache>
            </c:strRef>
          </c:tx>
          <c:spPr>
            <a:solidFill>
              <a:srgbClr val="FFFF00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1.6203690152113884E-2"/>
                  <c:y val="-2.135124221738395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Лист1!$H$2</c:f>
              <c:numCache>
                <c:formatCode>General</c:formatCode>
                <c:ptCount val="1"/>
                <c:pt idx="0">
                  <c:v>130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74462464"/>
        <c:axId val="153145280"/>
        <c:axId val="0"/>
      </c:bar3DChart>
      <c:catAx>
        <c:axId val="174462464"/>
        <c:scaling>
          <c:orientation val="minMax"/>
        </c:scaling>
        <c:delete val="0"/>
        <c:axPos val="b"/>
        <c:numFmt formatCode="General" sourceLinked="0"/>
        <c:majorTickMark val="out"/>
        <c:minorTickMark val="cross"/>
        <c:tickLblPos val="nextTo"/>
        <c:spPr>
          <a:noFill/>
        </c:spPr>
        <c:txPr>
          <a:bodyPr/>
          <a:lstStyle/>
          <a:p>
            <a:pPr>
              <a:defRPr sz="1200" b="0">
                <a:latin typeface="+mn-lt"/>
                <a:cs typeface="Times New Roman" panose="02020603050405020304" pitchFamily="18" charset="0"/>
              </a:defRPr>
            </a:pPr>
            <a:endParaRPr lang="ru-RU"/>
          </a:p>
        </c:txPr>
        <c:crossAx val="153145280"/>
        <c:crosses val="autoZero"/>
        <c:auto val="1"/>
        <c:lblAlgn val="ctr"/>
        <c:lblOffset val="100"/>
        <c:noMultiLvlLbl val="0"/>
      </c:catAx>
      <c:valAx>
        <c:axId val="15314528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74462464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65692269414278603"/>
          <c:y val="2.7432081317903305E-2"/>
          <c:w val="0.3335437704118962"/>
          <c:h val="0.92495018883009494"/>
        </c:manualLayout>
      </c:layout>
      <c:overlay val="0"/>
      <c:txPr>
        <a:bodyPr/>
        <a:lstStyle/>
        <a:p>
          <a:pPr>
            <a:defRPr sz="1000">
              <a:latin typeface="+mn-lt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noFill/>
    <a:ln w="12700">
      <a:solidFill>
        <a:sysClr val="windowText" lastClr="000000"/>
      </a:solidFill>
    </a:ln>
  </c:spPr>
  <c:externalData r:id="rId2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Тематика</c:v>
                </c:pt>
              </c:strCache>
            </c:strRef>
          </c:tx>
          <c:spPr>
            <a:ln w="12708" cmpd="sng">
              <a:solidFill>
                <a:sysClr val="windowText" lastClr="000000"/>
              </a:solidFill>
            </a:ln>
          </c:spPr>
          <c:dPt>
            <c:idx val="0"/>
            <c:bubble3D val="0"/>
          </c:dPt>
          <c:dPt>
            <c:idx val="1"/>
            <c:bubble3D val="0"/>
            <c:spPr>
              <a:solidFill>
                <a:srgbClr val="7030A0"/>
              </a:solidFill>
              <a:ln w="12708" cmpd="sng">
                <a:solidFill>
                  <a:sysClr val="windowText" lastClr="000000"/>
                </a:solidFill>
              </a:ln>
            </c:spPr>
          </c:dPt>
          <c:dPt>
            <c:idx val="2"/>
            <c:bubble3D val="0"/>
          </c:dPt>
          <c:dPt>
            <c:idx val="3"/>
            <c:bubble3D val="0"/>
            <c:spPr>
              <a:solidFill>
                <a:srgbClr val="FFFF00"/>
              </a:solidFill>
              <a:ln w="12708" cmpd="sng">
                <a:solidFill>
                  <a:sysClr val="windowText" lastClr="000000"/>
                </a:solidFill>
              </a:ln>
            </c:spPr>
          </c:dPt>
          <c:dPt>
            <c:idx val="4"/>
            <c:bubble3D val="0"/>
            <c:spPr>
              <a:solidFill>
                <a:sysClr val="window" lastClr="FFFFFF"/>
              </a:solidFill>
              <a:ln w="12708" cmpd="sng">
                <a:solidFill>
                  <a:sysClr val="windowText" lastClr="000000"/>
                </a:solidFill>
              </a:ln>
            </c:spPr>
          </c:dPt>
          <c:dPt>
            <c:idx val="5"/>
            <c:bubble3D val="0"/>
          </c:dPt>
          <c:dPt>
            <c:idx val="6"/>
            <c:bubble3D val="0"/>
            <c:spPr>
              <a:solidFill>
                <a:srgbClr val="FF0000"/>
              </a:solidFill>
              <a:ln w="12708" cmpd="sng">
                <a:solidFill>
                  <a:sysClr val="windowText" lastClr="000000"/>
                </a:solidFill>
              </a:ln>
            </c:spPr>
          </c:dPt>
          <c:dPt>
            <c:idx val="7"/>
            <c:bubble3D val="0"/>
          </c:dPt>
          <c:dPt>
            <c:idx val="8"/>
            <c:bubble3D val="0"/>
            <c:spPr>
              <a:solidFill>
                <a:sysClr val="window" lastClr="FFFFFF">
                  <a:lumMod val="75000"/>
                </a:sysClr>
              </a:solidFill>
              <a:ln w="12708" cmpd="sng">
                <a:solidFill>
                  <a:sysClr val="windowText" lastClr="000000"/>
                </a:solidFill>
              </a:ln>
            </c:spPr>
          </c:dPt>
          <c:dPt>
            <c:idx val="9"/>
            <c:bubble3D val="0"/>
            <c:spPr>
              <a:solidFill>
                <a:srgbClr val="00B050"/>
              </a:solidFill>
              <a:ln w="12708" cmpd="sng">
                <a:solidFill>
                  <a:sysClr val="windowText" lastClr="000000"/>
                </a:solidFill>
              </a:ln>
            </c:spPr>
          </c:dPt>
          <c:dPt>
            <c:idx val="10"/>
            <c:bubble3D val="0"/>
          </c:dPt>
          <c:dPt>
            <c:idx val="11"/>
            <c:bubble3D val="0"/>
          </c:dPt>
          <c:dPt>
            <c:idx val="12"/>
            <c:bubble3D val="0"/>
          </c:dPt>
          <c:dPt>
            <c:idx val="13"/>
            <c:bubble3D val="0"/>
          </c:dPt>
          <c:dPt>
            <c:idx val="14"/>
            <c:bubble3D val="0"/>
          </c:dPt>
          <c:dLbls>
            <c:dLbl>
              <c:idx val="0"/>
              <c:layout>
                <c:manualLayout>
                  <c:x val="3.7207349081364832E-2"/>
                  <c:y val="-8.9272668236056538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9.9202099737532815E-2"/>
                  <c:y val="4.4355095110533864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0"/>
                  <c:y val="0.22129772438239034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0"/>
              <c:showBubbleSize val="0"/>
            </c:dLbl>
            <c:dLbl>
              <c:idx val="3"/>
              <c:layout>
                <c:manualLayout>
                  <c:x val="0"/>
                  <c:y val="-0.1259426495657115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-1.4996601034626769E-3"/>
                  <c:y val="-8.2277545525881429E-2"/>
                </c:manualLayout>
              </c:layout>
              <c:showLegendKey val="0"/>
              <c:showVal val="0"/>
              <c:showCatName val="1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0"/>
                  <c:y val="-3.9850366642313253E-3"/>
                </c:manualLayout>
              </c:layout>
              <c:showLegendKey val="0"/>
              <c:showVal val="0"/>
              <c:showCatName val="1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-1.161455427827612E-2"/>
                  <c:y val="-2.6332629813025948E-2"/>
                </c:manualLayout>
              </c:layout>
              <c:showLegendKey val="0"/>
              <c:showVal val="0"/>
              <c:showCatName val="1"/>
              <c:showSerName val="0"/>
              <c:showPercent val="0"/>
              <c:showBubbleSize val="0"/>
            </c:dLbl>
            <c:dLbl>
              <c:idx val="7"/>
              <c:layout>
                <c:manualLayout>
                  <c:x val="0.10817321615285909"/>
                  <c:y val="-1.633063425061558E-2"/>
                </c:manualLayout>
              </c:layout>
              <c:showLegendKey val="0"/>
              <c:showVal val="0"/>
              <c:showCatName val="1"/>
              <c:showSerName val="0"/>
              <c:showPercent val="0"/>
              <c:showBubbleSize val="0"/>
            </c:dLbl>
            <c:dLbl>
              <c:idx val="8"/>
              <c:layout>
                <c:manualLayout>
                  <c:x val="4.5971445437172957E-2"/>
                  <c:y val="3.3476596675415575E-2"/>
                </c:manualLayout>
              </c:layout>
              <c:showLegendKey val="0"/>
              <c:showVal val="0"/>
              <c:showCatName val="1"/>
              <c:showSerName val="0"/>
              <c:showPercent val="0"/>
              <c:showBubbleSize val="0"/>
            </c:dLbl>
            <c:dLbl>
              <c:idx val="9"/>
              <c:layout>
                <c:manualLayout>
                  <c:x val="1.571418089892512E-2"/>
                  <c:y val="4.5768591426071689E-2"/>
                </c:manualLayout>
              </c:layout>
              <c:showLegendKey val="0"/>
              <c:showVal val="0"/>
              <c:showCatName val="1"/>
              <c:showSerName val="0"/>
              <c:showPercent val="0"/>
              <c:showBubbleSize val="0"/>
            </c:dLbl>
            <c:dLbl>
              <c:idx val="10"/>
              <c:layout>
                <c:manualLayout>
                  <c:x val="2.1742755471957365E-3"/>
                  <c:y val="-5.9831583552054975E-3"/>
                </c:manualLayout>
              </c:layout>
              <c:showLegendKey val="0"/>
              <c:showVal val="0"/>
              <c:showCatName val="1"/>
              <c:showSerName val="0"/>
              <c:showPercent val="0"/>
              <c:showBubbleSize val="0"/>
            </c:dLbl>
            <c:dLbl>
              <c:idx val="12"/>
              <c:layout>
                <c:manualLayout>
                  <c:x val="5.9049630721954807E-2"/>
                  <c:y val="-1.5708779342248458E-2"/>
                </c:manualLayout>
              </c:layout>
              <c:showLegendKey val="0"/>
              <c:showVal val="0"/>
              <c:showCatName val="1"/>
              <c:showSerName val="0"/>
              <c:showPercent val="0"/>
              <c:showBubbleSize val="0"/>
            </c:dLbl>
            <c:dLbl>
              <c:idx val="14"/>
              <c:layout>
                <c:manualLayout>
                  <c:x val="9.6484868305199881E-2"/>
                  <c:y val="-4.1312250879499073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900" b="1" i="1" baseline="0">
                    <a:solidFill>
                      <a:schemeClr val="tx1"/>
                    </a:solidFill>
                  </a:defRPr>
                </a:pPr>
                <a:endParaRPr lang="ru-RU"/>
              </a:p>
            </c:txPr>
            <c:showLegendKey val="0"/>
            <c:showVal val="0"/>
            <c:showCatName val="1"/>
            <c:showSerName val="0"/>
            <c:showPercent val="0"/>
            <c:showBubbleSize val="0"/>
            <c:showLeaderLines val="1"/>
          </c:dLbls>
          <c:cat>
            <c:strRef>
              <c:f>Лист1!$A$2:$A$12</c:f>
              <c:strCache>
                <c:ptCount val="11"/>
                <c:pt idx="0">
                  <c:v>Охрана семьи, материнства, отцовства и детства  18%</c:v>
                </c:pt>
                <c:pt idx="1">
                  <c:v>Льготы и социальное обеспечение 12%</c:v>
                </c:pt>
                <c:pt idx="2">
                  <c:v>Социальное обслуживание  11%</c:v>
                </c:pt>
                <c:pt idx="3">
                  <c:v>Усыновление детей  10%</c:v>
                </c:pt>
                <c:pt idx="4">
                  <c:v>Оказание материальной помощи   8%</c:v>
                </c:pt>
                <c:pt idx="5">
                  <c:v>Пособия и компенсации на детей 8%</c:v>
                </c:pt>
                <c:pt idx="6">
                  <c:v>Присвоение звания "Ветеран труда"  6%</c:v>
                </c:pt>
                <c:pt idx="7">
                  <c:v>Деятельность органов системы социального обеспечения 6%</c:v>
                </c:pt>
                <c:pt idx="8">
                  <c:v>Реализация программы "Доступная среда" 5%</c:v>
                </c:pt>
                <c:pt idx="9">
                  <c:v>Государственные интернаты 3%</c:v>
                </c:pt>
                <c:pt idx="10">
                  <c:v>Другие</c:v>
                </c:pt>
              </c:strCache>
            </c:strRef>
          </c:cat>
          <c:val>
            <c:numRef>
              <c:f>Лист1!$B$2:$B$12</c:f>
              <c:numCache>
                <c:formatCode>General</c:formatCode>
                <c:ptCount val="11"/>
                <c:pt idx="0">
                  <c:v>20</c:v>
                </c:pt>
                <c:pt idx="1">
                  <c:v>15</c:v>
                </c:pt>
                <c:pt idx="2">
                  <c:v>14</c:v>
                </c:pt>
                <c:pt idx="3">
                  <c:v>12</c:v>
                </c:pt>
                <c:pt idx="4">
                  <c:v>8</c:v>
                </c:pt>
                <c:pt idx="5">
                  <c:v>8</c:v>
                </c:pt>
                <c:pt idx="6">
                  <c:v>5</c:v>
                </c:pt>
                <c:pt idx="7">
                  <c:v>5</c:v>
                </c:pt>
                <c:pt idx="8">
                  <c:v>4</c:v>
                </c:pt>
                <c:pt idx="9">
                  <c:v>3</c:v>
                </c:pt>
                <c:pt idx="10">
                  <c:v>20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130"/>
      </c:pieChart>
      <c:spPr>
        <a:noFill/>
        <a:ln w="25417">
          <a:noFill/>
        </a:ln>
      </c:spPr>
    </c:plotArea>
    <c:plotVisOnly val="1"/>
    <c:dispBlanksAs val="gap"/>
    <c:showDLblsOverMax val="0"/>
  </c:chart>
  <c:spPr>
    <a:solidFill>
      <a:srgbClr val="EEECE1"/>
    </a:solidFill>
    <a:ln w="25400" cmpd="sng">
      <a:solidFill>
        <a:sysClr val="windowText" lastClr="000000"/>
      </a:solidFill>
      <a:miter lim="800000"/>
    </a:ln>
    <a:effectLst/>
  </c:sp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Воздушный поток">
    <a:dk1>
      <a:sysClr val="windowText" lastClr="000000"/>
    </a:dk1>
    <a:lt1>
      <a:sysClr val="window" lastClr="FFFFFF"/>
    </a:lt1>
    <a:dk2>
      <a:srgbClr val="212745"/>
    </a:dk2>
    <a:lt2>
      <a:srgbClr val="B4DCFA"/>
    </a:lt2>
    <a:accent1>
      <a:srgbClr val="4E67C8"/>
    </a:accent1>
    <a:accent2>
      <a:srgbClr val="5ECCF3"/>
    </a:accent2>
    <a:accent3>
      <a:srgbClr val="A7EA52"/>
    </a:accent3>
    <a:accent4>
      <a:srgbClr val="5DCEAF"/>
    </a:accent4>
    <a:accent5>
      <a:srgbClr val="FF8021"/>
    </a:accent5>
    <a:accent6>
      <a:srgbClr val="F14124"/>
    </a:accent6>
    <a:hlink>
      <a:srgbClr val="56C7AA"/>
    </a:hlink>
    <a:folHlink>
      <a:srgbClr val="59A8D1"/>
    </a:folHlink>
  </a:clrScheme>
  <a:fontScheme name="Воздушный поток">
    <a:majorFont>
      <a:latin typeface="Trebuchet MS"/>
      <a:ea typeface=""/>
      <a:cs typeface=""/>
      <a:font script="Jpan" typeface="HGｺﾞｼｯｸM"/>
      <a:font script="Hang" typeface="HY그래픽B"/>
      <a:font script="Hans" typeface="方正姚体"/>
      <a:font script="Hant" typeface="微軟正黑體"/>
      <a:font script="Arab" typeface="Tahoma"/>
      <a:font script="Hebr" typeface="Gisha"/>
      <a:font script="Thai" typeface="IrisUPC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ahoma"/>
      <a:font script="Uigh" typeface="Microsoft Uighur"/>
      <a:font script="Geor" typeface="Sylfaen"/>
    </a:majorFont>
    <a:minorFont>
      <a:latin typeface="Trebuchet MS"/>
      <a:ea typeface=""/>
      <a:cs typeface=""/>
      <a:font script="Jpan" typeface="HGｺﾞｼｯｸM"/>
      <a:font script="Hang" typeface="HY그래픽M"/>
      <a:font script="Hans" typeface="方正姚体"/>
      <a:font script="Hant" typeface="微軟正黑體"/>
      <a:font script="Arab" typeface="Tahoma"/>
      <a:font script="Hebr" typeface="Gisha"/>
      <a:font script="Thai" typeface="IrisUPC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Воздушный поток">
    <a:fillStyleLst>
      <a:solidFill>
        <a:schemeClr val="phClr"/>
      </a:solidFill>
      <a:gradFill rotWithShape="1">
        <a:gsLst>
          <a:gs pos="28000">
            <a:schemeClr val="phClr">
              <a:tint val="18000"/>
              <a:satMod val="120000"/>
              <a:lumMod val="88000"/>
            </a:schemeClr>
          </a:gs>
          <a:gs pos="100000">
            <a:schemeClr val="phClr">
              <a:tint val="40000"/>
              <a:satMod val="100000"/>
              <a:lumMod val="78000"/>
            </a:schemeClr>
          </a:gs>
        </a:gsLst>
        <a:lin ang="5400000" scaled="0"/>
      </a:gradFill>
      <a:gradFill rotWithShape="1">
        <a:gsLst>
          <a:gs pos="0">
            <a:schemeClr val="phClr">
              <a:lumMod val="95000"/>
            </a:schemeClr>
          </a:gs>
          <a:gs pos="100000">
            <a:schemeClr val="phClr">
              <a:shade val="82000"/>
              <a:satMod val="125000"/>
              <a:lumMod val="74000"/>
            </a:schemeClr>
          </a:gs>
        </a:gsLst>
        <a:lin ang="5400000" scaled="0"/>
      </a:gradFill>
    </a:fillStyleLst>
    <a:lnStyleLst>
      <a:ln w="9525" cap="flat" cmpd="sng" algn="ctr">
        <a:solidFill>
          <a:schemeClr val="phClr"/>
        </a:solidFill>
        <a:prstDash val="solid"/>
      </a:ln>
      <a:ln w="15875" cap="flat" cmpd="sng" algn="ctr">
        <a:solidFill>
          <a:schemeClr val="phClr">
            <a:shade val="75000"/>
            <a:satMod val="125000"/>
            <a:lumMod val="7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63500" dist="50800" dir="5400000" sx="98000" sy="98000" rotWithShape="0">
            <a:srgbClr val="000000">
              <a:alpha val="20000"/>
            </a:srgbClr>
          </a:outerShdw>
        </a:effectLst>
      </a:effectStyle>
      <a:effectStyle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>
            <a:rot lat="0" lon="0" rev="0"/>
          </a:camera>
          <a:lightRig rig="balanced" dir="tr"/>
        </a:scene3d>
        <a:sp3d prstMaterial="matte">
          <a:bevelT w="19050" h="38100"/>
        </a:sp3d>
      </a:effectStyle>
      <a:effectStyle>
        <a:effectLst>
          <a:reflection blurRad="38100" stA="26000" endPos="23000" dist="25400" dir="5400000" sy="-100000" rotWithShape="0"/>
        </a:effectLst>
        <a:scene3d>
          <a:camera prst="orthographicFront">
            <a:rot lat="0" lon="0" rev="0"/>
          </a:camera>
          <a:lightRig rig="balanced" dir="tr"/>
        </a:scene3d>
        <a:sp3d contourW="14605" prstMaterial="plastic">
          <a:bevelT w="50800"/>
          <a:contourClr>
            <a:schemeClr val="phClr">
              <a:shade val="30000"/>
              <a:satMod val="120000"/>
            </a:schemeClr>
          </a:contourClr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98000"/>
              <a:shade val="90000"/>
              <a:satMod val="160000"/>
              <a:lumMod val="100000"/>
            </a:schemeClr>
          </a:gs>
          <a:gs pos="60000">
            <a:schemeClr val="phClr">
              <a:tint val="95000"/>
              <a:shade val="100000"/>
              <a:satMod val="130000"/>
              <a:lumMod val="130000"/>
            </a:schemeClr>
          </a:gs>
          <a:gs pos="100000">
            <a:schemeClr val="phClr">
              <a:tint val="97000"/>
              <a:shade val="100000"/>
              <a:hueMod val="100000"/>
              <a:satMod val="140000"/>
              <a:lumMod val="80000"/>
            </a:schemeClr>
          </a:gs>
        </a:gsLst>
        <a:path path="circle">
          <a:fillToRect l="20000" t="10000" r="20000" b="60000"/>
        </a:path>
      </a:gradFill>
      <a:gradFill rotWithShape="1">
        <a:gsLst>
          <a:gs pos="0">
            <a:schemeClr val="phClr">
              <a:tint val="94000"/>
              <a:satMod val="160000"/>
              <a:lumMod val="160000"/>
            </a:schemeClr>
          </a:gs>
          <a:gs pos="42000">
            <a:schemeClr val="phClr">
              <a:tint val="94000"/>
              <a:shade val="94000"/>
              <a:satMod val="160000"/>
              <a:lumMod val="130000"/>
            </a:schemeClr>
          </a:gs>
          <a:gs pos="100000">
            <a:schemeClr val="phClr">
              <a:tint val="97000"/>
              <a:shade val="94000"/>
              <a:satMod val="180000"/>
              <a:lumMod val="84000"/>
            </a:schemeClr>
          </a:gs>
        </a:gsLst>
        <a:path path="circle">
          <a:fillToRect l="24000" t="44000" r="24000" b="12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7AA91A-E6BB-4515-BAF7-51FB0A5A9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825</Words>
  <Characters>4706</Characters>
  <Application>Microsoft Office Word</Application>
  <DocSecurity>4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Вершинина Камилла Игоревна</dc:creator>
  <cp:lastModifiedBy>Вершинина Камилла Игоревна</cp:lastModifiedBy>
  <cp:revision>2</cp:revision>
  <cp:lastPrinted>2015-07-15T11:55:00Z</cp:lastPrinted>
  <dcterms:created xsi:type="dcterms:W3CDTF">2015-11-05T11:47:00Z</dcterms:created>
  <dcterms:modified xsi:type="dcterms:W3CDTF">2015-11-05T11:47:00Z</dcterms:modified>
</cp:coreProperties>
</file>