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МИНИСТЕРСТВО СОЦИАЛЬНОЙ ПОЛИТИКИ СВЕРДЛОВСКОЙ ОБЛАСТИ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7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государственное автономное учреждение социального обслуживания 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7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Свердловской области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77"/>
        <w:ind w:left="-567" w:right="-766" w:firstLine="56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 xml:space="preserve">«Комплексный центр социального обслуживания населения города Полевского»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77"/>
        <w:ind w:left="-567" w:right="-766"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7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ПРИКАЗ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7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7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77"/>
        <w:contextualSpacing w:val="0"/>
        <w:ind w:left="0" w:right="0"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suppressLineNumbers w:val="0"/>
      </w:pPr>
      <w:r>
        <w:rPr>
          <w:rFonts w:ascii="Times New Roman" w:hAnsi="Times New Roman" w:eastAsia="Times New Roman" w:cs="Times New Roman"/>
          <w:b/>
          <w:color w:val="auto"/>
          <w:sz w:val="20"/>
          <w:szCs w:val="20"/>
          <w:lang w:val="ru-RU" w:eastAsia="zh-CN" w:bidi="ar-SA"/>
        </w:rPr>
        <w:t xml:space="preserve">от 07.04.2025</w:t>
      </w:r>
      <w:r>
        <w:rPr>
          <w:rFonts w:ascii="Times New Roman" w:hAnsi="Times New Roman" w:eastAsia="Times New Roman" w:cs="Times New Roman"/>
          <w:b/>
          <w:color w:val="auto"/>
          <w:sz w:val="20"/>
          <w:szCs w:val="20"/>
          <w:lang w:val="ru-RU" w:bidi="ar-SA"/>
        </w:rPr>
        <w:t xml:space="preserve">г.</w:t>
      </w:r>
      <w:r>
        <w:rPr>
          <w:rFonts w:ascii="Times New Roman" w:hAnsi="Times New Roman" w:cs="Times New Roman"/>
          <w:b/>
          <w:sz w:val="20"/>
          <w:szCs w:val="20"/>
        </w:rPr>
        <w:tab/>
        <w:tab/>
        <w:tab/>
        <w:tab/>
        <w:tab/>
        <w:t xml:space="preserve">                          </w:t>
        <w:tab/>
        <w:tab/>
        <w:tab/>
        <w:t xml:space="preserve">                                     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№ 46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7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21"/>
        <w:jc w:val="center"/>
        <w:widowControl/>
        <w:rPr>
          <w:rFonts w:ascii="Times New Roman" w:hAnsi="Times New Roman" w:cs="Times New Roman"/>
          <w:b/>
          <w:bCs/>
          <w:sz w:val="20"/>
          <w:szCs w:val="20"/>
          <w:highlight w:val="none"/>
        </w:rPr>
        <w:outlineLvl w:val="2"/>
      </w:pP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О мерах по 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проведению перекрестного анализа информации, содержащейся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21"/>
        <w:jc w:val="center"/>
        <w:widowControl/>
        <w:rPr>
          <w:rFonts w:ascii="Times New Roman" w:hAnsi="Times New Roman" w:cs="Times New Roman"/>
          <w:b/>
          <w:bCs/>
          <w:sz w:val="20"/>
          <w:szCs w:val="20"/>
          <w:highlight w:val="none"/>
        </w:rPr>
        <w:outlineLvl w:val="2"/>
      </w:pP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в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профил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ях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 работников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 учреждения и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профилях 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участников закупок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21"/>
        <w:jc w:val="center"/>
        <w:widowControl/>
        <w:rPr>
          <w:rFonts w:ascii="Times New Roman" w:hAnsi="Times New Roman" w:cs="Times New Roman"/>
          <w:b/>
          <w:bCs/>
          <w:sz w:val="20"/>
          <w:szCs w:val="20"/>
          <w:highlight w:val="none"/>
        </w:rPr>
        <w:outlineLvl w:val="2"/>
      </w:pP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в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целях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 выявлени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я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личной заинтересованности 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работников 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учреждения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right="93" w:firstLine="0"/>
        <w:jc w:val="center"/>
        <w:widowControl w:val="off"/>
        <w:rPr>
          <w:rFonts w:ascii="Times New Roman" w:hAnsi="Times New Roman" w:cs="Times New Roman"/>
          <w:b/>
          <w:bCs/>
          <w:sz w:val="20"/>
          <w:szCs w:val="20"/>
          <w:highlight w:val="none"/>
        </w:rPr>
      </w:pP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при осуществлении закупок 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для нужд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highlight w:val="none"/>
        </w:rPr>
        <w:t xml:space="preserve">государственного автономного учреждения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highlight w:val="none"/>
        </w:rPr>
        <w:t xml:space="preserve">Свердловской области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highlight w:val="none"/>
        </w:rPr>
        <w:t xml:space="preserve">«Комплексный центр социального обслуживания  населения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highlight w:val="none"/>
        </w:rPr>
        <w:t xml:space="preserve"> города Полевского»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77"/>
        <w:ind w:left="-567" w:right="-766"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contextualSpacing w:val="0"/>
        <w:ind w:right="0" w:firstLine="720"/>
        <w:jc w:val="both"/>
        <w:spacing w:before="0" w:after="0" w:line="283" w:lineRule="atLeast"/>
        <w:widowControl w:val="off"/>
        <w:rPr>
          <w:rFonts w:ascii="Times New Roman" w:hAnsi="Times New Roman" w:cs="Times New Roman"/>
          <w:b w:val="0"/>
          <w:bCs w:val="0"/>
          <w:sz w:val="20"/>
          <w:szCs w:val="20"/>
        </w:rPr>
        <w:suppressLineNumbers w:val="0"/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Fonts w:ascii="Times New Roman" w:hAnsi="Times New Roman" w:eastAsia="TimesNewRoman" w:cs="Times New Roman"/>
          <w:sz w:val="20"/>
          <w:szCs w:val="20"/>
        </w:rPr>
        <w:t xml:space="preserve">Руководствуясь Федеральным законом от 25 декабря 2008 года № 273-ФЗ «О противодействии коррупции</w:t>
      </w:r>
      <w:r>
        <w:rPr>
          <w:rFonts w:ascii="Times New Roman" w:hAnsi="Times New Roman" w:eastAsia="TimesNewRoman" w:cs="Times New Roman"/>
          <w:b w:val="0"/>
          <w:sz w:val="20"/>
          <w:szCs w:val="20"/>
        </w:rPr>
        <w:t xml:space="preserve">»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, в целях решения задач профилактики коррупционных правонарушений при осуществлении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закупок товаров, работ, услуг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для нужд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государственного автономного учреждения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Свердловской области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«Комплексный центр социального обслуживания  населения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 города Полевского», </w:t>
      </w:r>
      <w:r>
        <w:rPr>
          <w:rFonts w:ascii="Times New Roman" w:hAnsi="Times New Roman" w:cs="Times New Roman"/>
          <w:sz w:val="20"/>
          <w:szCs w:val="20"/>
        </w:rPr>
        <w:t xml:space="preserve">для выявления </w:t>
      </w:r>
      <w:r>
        <w:rPr>
          <w:rFonts w:ascii="Times New Roman" w:hAnsi="Times New Roman" w:cs="Times New Roman"/>
          <w:sz w:val="20"/>
          <w:szCs w:val="20"/>
        </w:rPr>
        <w:t xml:space="preserve">возможности возникновения конфликта интересов работник</w:t>
      </w:r>
      <w:r>
        <w:rPr>
          <w:rFonts w:ascii="Times New Roman" w:hAnsi="Times New Roman" w:cs="Times New Roman"/>
          <w:sz w:val="20"/>
          <w:szCs w:val="20"/>
        </w:rPr>
        <w:t xml:space="preserve">а</w:t>
      </w:r>
      <w:r>
        <w:rPr>
          <w:rFonts w:ascii="Times New Roman" w:hAnsi="Times New Roman" w:cs="Times New Roman"/>
          <w:sz w:val="20"/>
          <w:szCs w:val="20"/>
        </w:rPr>
        <w:t xml:space="preserve"> при осуществлении закупок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фактов, свидетельствующих о возможном наличии </w:t>
      </w:r>
      <w:r>
        <w:rPr>
          <w:rFonts w:ascii="Times New Roman" w:hAnsi="Times New Roman" w:cs="Times New Roman"/>
          <w:sz w:val="20"/>
          <w:szCs w:val="20"/>
        </w:rPr>
        <w:t xml:space="preserve">у</w:t>
      </w:r>
      <w:r>
        <w:rPr>
          <w:rFonts w:ascii="Times New Roman" w:hAnsi="Times New Roman" w:cs="Times New Roman"/>
          <w:sz w:val="20"/>
          <w:szCs w:val="20"/>
        </w:rPr>
        <w:t xml:space="preserve"> </w:t>
      </w:r>
      <w:r>
        <w:rPr>
          <w:rFonts w:ascii="Times New Roman" w:hAnsi="Times New Roman" w:cs="Times New Roman"/>
          <w:sz w:val="20"/>
          <w:szCs w:val="20"/>
        </w:rPr>
        <w:t xml:space="preserve">работник</w:t>
      </w:r>
      <w:r>
        <w:rPr>
          <w:rFonts w:ascii="Times New Roman" w:hAnsi="Times New Roman" w:cs="Times New Roman"/>
          <w:sz w:val="20"/>
          <w:szCs w:val="20"/>
        </w:rPr>
        <w:t xml:space="preserve">а</w:t>
      </w:r>
      <w:r>
        <w:rPr>
          <w:rFonts w:ascii="Times New Roman" w:hAnsi="Times New Roman" w:cs="Times New Roman"/>
          <w:sz w:val="20"/>
          <w:szCs w:val="20"/>
        </w:rPr>
        <w:t xml:space="preserve"> личной заинтересованности</w:t>
      </w:r>
      <w:r>
        <w:rPr>
          <w:rFonts w:ascii="Times New Roman" w:hAnsi="Times New Roman" w:cs="Times New Roman"/>
          <w:sz w:val="20"/>
          <w:szCs w:val="20"/>
        </w:rPr>
        <w:t xml:space="preserve"> в результатах закупки</w:t>
      </w:r>
      <w:r>
        <w:rPr>
          <w:rFonts w:ascii="Times New Roman" w:hAnsi="Times New Roman" w:cs="Times New Roman"/>
          <w:sz w:val="20"/>
          <w:szCs w:val="20"/>
          <w:highlight w:val="none"/>
        </w:rPr>
        <w:t xml:space="preserve">,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77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7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ПРИКАЗЫВАЮ: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21"/>
        <w:jc w:val="both"/>
        <w:widowControl/>
        <w:rPr>
          <w:rFonts w:ascii="Times New Roman" w:hAnsi="Times New Roman" w:cs="Times New Roman"/>
          <w:b w:val="0"/>
          <w:bCs w:val="0"/>
          <w:sz w:val="20"/>
          <w:szCs w:val="20"/>
        </w:rPr>
        <w:outlineLvl w:val="2"/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 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 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   1.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Назначить ответственным лицом за работу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по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профилактике коррупционных и иных правонарушений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в ГАУСО СО «КЦСОН города Полевского»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и проведения перекрестного анализа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  <w:t xml:space="preserve">в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  <w:t xml:space="preserve">целях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  <w:t xml:space="preserve"> выявлени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  <w:t xml:space="preserve">я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  <w:t xml:space="preserve">личной заинтересованности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  <w:t xml:space="preserve">работников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  <w:t xml:space="preserve">учреждения 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  <w:t xml:space="preserve">при осуществлении закупок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  <w:t xml:space="preserve">для нужд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государственного автономного учреждения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Свердловской области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«Комплексный центр социального обслуживания  населения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 города Полевского» 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с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е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кретаря руководителя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Шайхидинову А.В.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0"/>
        <w:jc w:val="both"/>
        <w:tabs>
          <w:tab w:val="clear" w:pos="720" w:leader="none"/>
          <w:tab w:val="left" w:pos="1134" w:leader="none"/>
        </w:tabs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2.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Возложить на 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секретаря руководителя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Шайхидинову А.В.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.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следующие обязанности: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0" w:firstLine="0"/>
        <w:jc w:val="both"/>
        <w:tabs>
          <w:tab w:val="clear" w:pos="720" w:leader="none"/>
          <w:tab w:val="left" w:pos="1134" w:leader="none"/>
        </w:tabs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2.1.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Фо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рмирование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профилей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работников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участвующих в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осуществлении закупок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ГАУСО СО «КЦСОН города Полевского»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в начале календарного года,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на основе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поименного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списка, который формирует ответственное лицо за осуществление закупок,  утвержденное директором учреждения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;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0" w:firstLine="0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       2.2.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Проведение п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ерекрестного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 анализа сведений,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содержащихся в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профилях 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работников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и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профилях участников закуп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ки 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(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контрагентов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) 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иной информации 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при осуществлении закуп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ки (заключении договора)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;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0" w:firstLine="0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2.3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.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Подготовка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заключени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я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по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результатам перекрестного анализа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и направл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яет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его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ответственн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ому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за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осуществление закупок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в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течение 2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 рабочих дней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со дня представления профилей участников закупки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(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контрагентов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)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, но не позднее, чем до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принятия решения об определении контрагента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(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заключения договора с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поставщик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ом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, 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подрядчик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ом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, исполнител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ем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contextualSpacing w:val="0"/>
        <w:ind w:left="0" w:firstLine="567"/>
        <w:jc w:val="both"/>
        <w:spacing w:after="0" w:line="240" w:lineRule="auto"/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suppressLineNumbers w:val="0"/>
      </w:pP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  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2.4.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З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аключени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е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по результатам перекрестного анализа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должно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содерж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ать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следующую информацию: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contextualSpacing w:val="0"/>
        <w:ind w:left="0" w:firstLine="0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  <w:suppressLineNumbers w:val="0"/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  - сведения о закупке, в том числе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об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объект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е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закупки (предмет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е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договора);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contextualSpacing w:val="0"/>
        <w:ind w:left="0" w:firstLine="0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  <w:suppressLineNumbers w:val="0"/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 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- дат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у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проведения перекрестного анализа;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contextualSpacing w:val="0"/>
        <w:ind w:left="0" w:firstLine="0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  <w:suppressLineNumbers w:val="0"/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   - 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сведения о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лице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 проводившем перекрестный анализ;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contextualSpacing w:val="0"/>
        <w:ind w:left="0" w:firstLine="0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  <w:suppressLineNumbers w:val="0"/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   - сопоставление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размер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начальной (максимальной) цены договора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и цены заключаемого договора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 начальн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ой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сумм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ы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цен единиц товара, работы, услуги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и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сумм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ы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цен единиц товара, работы, услуги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заключаемого договора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;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contextualSpacing w:val="0"/>
        <w:ind w:left="0" w:firstLine="0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  <w:suppressLineNumbers w:val="0"/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   - сведения о количестве участников закупки, в том числе о единственном поставщике (подрядчике, исполнителе) и количестве представленных профилей участников закупки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(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контрагентов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),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наименования участников закупки (контрагентов);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contextualSpacing w:val="0"/>
        <w:ind w:left="0" w:firstLine="0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  <w:suppressLineNumbers w:val="0"/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   -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информаци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ю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(выводы) по результатам перекрестного анализа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о наличии (отсутствии)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возможны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х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связ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ей, в том числе неформальных связей работник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аффилированны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х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с ними лиц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с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участником закупки (контрагентом)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которые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могут свидетельствовать о личной заинтересованности работник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 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аффилированных с ним лиц в результатах закупки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;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contextualSpacing w:val="0"/>
        <w:ind w:left="0" w:firstLine="0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  <w:suppressLineNumbers w:val="0"/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      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- сведени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я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о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работнике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и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аффилированных с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ним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лицах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 в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отношении котор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ых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выявлен факт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наличия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возможны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х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связ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ей, в том числе неформальных связей с участником закупки (контрагентом), и сведения о таком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участник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е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закупки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(контрагенте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)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.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0" w:firstLine="0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2.5.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Осуществление учета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сведений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проведении перекрестного анализа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по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каждой закупке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учреждения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в том числе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об участниках закупки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(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контрагентах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)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количестве участников каждой закупк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 количестве сформированных профилей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участников закупки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(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контрагентов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)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дат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е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проведени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я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перекрестн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ого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анализ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по каждой закупке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наличи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(отсутстви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) фактов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возможны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х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связ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ей, в том числе неформальных связей работника и 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аффилированных с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ним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лиц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с участником закупки (контрагентом),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и сведени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й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о таком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участник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е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закупки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(контрагенте)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 мерах, принятых </w:t>
      </w:r>
      <w:r>
        <w:rPr>
          <w:rFonts w:ascii="Times New Roman" w:hAnsi="Times New Roman" w:eastAsia="Calibri" w:cs="Times New Roman"/>
          <w:sz w:val="20"/>
          <w:szCs w:val="20"/>
          <w:highlight w:val="white"/>
          <w:lang w:eastAsia="en-US"/>
        </w:rPr>
        <w:t xml:space="preserve">по</w:t>
      </w:r>
      <w:r>
        <w:rPr>
          <w:rFonts w:ascii="Times New Roman" w:hAnsi="Times New Roman" w:eastAsia="Calibri" w:cs="Times New Roman"/>
          <w:sz w:val="20"/>
          <w:szCs w:val="20"/>
          <w:highlight w:val="white"/>
          <w:lang w:eastAsia="en-US"/>
        </w:rPr>
        <w:t xml:space="preserve"> </w:t>
      </w:r>
      <w:r>
        <w:rPr>
          <w:rFonts w:ascii="Times New Roman" w:hAnsi="Times New Roman" w:eastAsia="Calibri" w:cs="Times New Roman"/>
          <w:sz w:val="20"/>
          <w:szCs w:val="20"/>
          <w:highlight w:val="white"/>
          <w:lang w:eastAsia="en-US"/>
        </w:rPr>
        <w:t xml:space="preserve">предотвращению и</w:t>
      </w:r>
      <w:r>
        <w:rPr>
          <w:rFonts w:ascii="Times New Roman" w:hAnsi="Times New Roman" w:eastAsia="Calibri" w:cs="Times New Roman"/>
          <w:sz w:val="20"/>
          <w:szCs w:val="20"/>
          <w:highlight w:val="white"/>
          <w:lang w:eastAsia="en-US"/>
        </w:rPr>
        <w:t xml:space="preserve"> </w:t>
      </w:r>
      <w:r>
        <w:rPr>
          <w:rFonts w:ascii="Times New Roman" w:hAnsi="Times New Roman" w:eastAsia="Calibri" w:cs="Times New Roman"/>
          <w:sz w:val="20"/>
          <w:szCs w:val="20"/>
          <w:highlight w:val="white"/>
          <w:lang w:eastAsia="en-US"/>
        </w:rPr>
        <w:t xml:space="preserve">(</w:t>
      </w:r>
      <w:r>
        <w:rPr>
          <w:rFonts w:ascii="Times New Roman" w:hAnsi="Times New Roman" w:eastAsia="Calibri" w:cs="Times New Roman"/>
          <w:sz w:val="20"/>
          <w:szCs w:val="20"/>
          <w:highlight w:val="white"/>
          <w:lang w:eastAsia="en-US"/>
        </w:rPr>
        <w:t xml:space="preserve">или) урегулированию конфликта интересов</w:t>
      </w:r>
      <w:r>
        <w:rPr>
          <w:rFonts w:ascii="Times New Roman" w:hAnsi="Times New Roman" w:cs="Times New Roman"/>
          <w:sz w:val="20"/>
          <w:szCs w:val="20"/>
          <w:highlight w:val="white"/>
          <w:lang w:val="ru-RU"/>
        </w:rPr>
        <w:t xml:space="preserve">;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0" w:firstLine="0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</w:t>
      </w:r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 xml:space="preserve">   </w:t>
      </w:r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2.6.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Ежеквартально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нарастающим итогом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(первый, второй и третий кварталы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,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год)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формирование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отчета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о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проведении работы по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 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выявлени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ю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возможно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сти возникновения конфликта интересо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в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работник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ов учреждения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при осуществлении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закуп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ок для нужд учреждения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до 10 числа месяца,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следующего за отчетным кварталом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и представление его на рассмотрение директору учреждения.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6"/>
        <w:ind w:left="0" w:firstLine="0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 2.7.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Хранение документации о проведении перекрестного анализа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при осуществлении закупок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в течение 3 лет.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6"/>
        <w:ind w:left="0" w:firstLine="0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</w:pP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21"/>
        <w:jc w:val="both"/>
        <w:widowControl/>
        <w:rPr>
          <w:rFonts w:ascii="Times New Roman" w:hAnsi="Times New Roman" w:cs="Times New Roman"/>
          <w:b w:val="0"/>
          <w:bCs w:val="0"/>
          <w:sz w:val="20"/>
          <w:szCs w:val="20"/>
        </w:rPr>
        <w:outlineLvl w:val="2"/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      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 3.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Назначить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ответственным лицом за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осуществление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закупок для нужд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ГАУСО СО «КЦСОН города Полевского»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в части проведения перекрестного анализа информации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  <w:t xml:space="preserve">,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 содержащейся  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в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профил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ях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 работников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 учреждения и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профилях </w:t>
      </w:r>
      <w:r>
        <w:rPr>
          <w:rFonts w:ascii="Times New Roman" w:hAnsi="Times New Roman" w:cs="Times New Roman"/>
          <w:b/>
          <w:bCs/>
          <w:sz w:val="20"/>
          <w:szCs w:val="20"/>
          <w:highlight w:val="none"/>
        </w:rPr>
        <w:t xml:space="preserve">участников закупок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  <w:t xml:space="preserve"> 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государственного автономного учреж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дения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Свердловской области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«Комплексный центр социального обслуживания  населения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 города Полевского» 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юрисконсульта Карякина А.В.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0"/>
        <w:jc w:val="both"/>
        <w:tabs>
          <w:tab w:val="clear" w:pos="720" w:leader="none"/>
          <w:tab w:val="left" w:pos="1134" w:leader="none"/>
        </w:tabs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    4.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Возложить на юрисконсульта Карякина А.В. следующие обязанности: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0" w:firstLine="0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  <w:u w:val="none"/>
        </w:rPr>
      </w:pPr>
      <w:r>
        <w:rPr>
          <w:rFonts w:ascii="Times New Roman" w:hAnsi="Times New Roman" w:cs="Times New Roman"/>
          <w:b w:val="0"/>
          <w:sz w:val="20"/>
          <w:szCs w:val="20"/>
          <w:highlight w:val="white"/>
          <w:u w:val="none"/>
        </w:rPr>
        <w:t xml:space="preserve">     </w:t>
      </w:r>
      <w:r>
        <w:rPr>
          <w:rFonts w:ascii="Times New Roman" w:hAnsi="Times New Roman" w:cs="Times New Roman"/>
          <w:b w:val="0"/>
          <w:sz w:val="20"/>
          <w:szCs w:val="20"/>
          <w:highlight w:val="white"/>
          <w:u w:val="none"/>
        </w:rPr>
        <w:t xml:space="preserve">              4.1.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u w:val="none"/>
        </w:rPr>
        <w:t xml:space="preserve"> Подготовка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u w:val="none"/>
        </w:rPr>
        <w:t xml:space="preserve">поименного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u w:val="none"/>
        </w:rPr>
        <w:t xml:space="preserve">списка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u w:val="none"/>
        </w:rPr>
        <w:t xml:space="preserve"> работников</w:t>
      </w:r>
      <w:r>
        <w:rPr>
          <w:rFonts w:ascii="Times New Roman" w:hAnsi="Times New Roman" w:cs="Times New Roman"/>
          <w:b w:val="0"/>
          <w:sz w:val="20"/>
          <w:szCs w:val="20"/>
          <w:highlight w:val="white"/>
          <w:u w:val="none"/>
        </w:rPr>
        <w:t xml:space="preserve">, участвующих в осуществлении закупок</w:t>
      </w:r>
      <w:r>
        <w:rPr>
          <w:rFonts w:ascii="Times New Roman" w:hAnsi="Times New Roman" w:cs="Times New Roman"/>
          <w:b w:val="0"/>
          <w:sz w:val="20"/>
          <w:szCs w:val="20"/>
          <w:highlight w:val="white"/>
          <w:u w:val="none"/>
        </w:rPr>
        <w:t xml:space="preserve">: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21"/>
        <w:ind w:firstLine="709"/>
        <w:jc w:val="both"/>
        <w:widowControl/>
        <w:rPr>
          <w:rFonts w:ascii="Times New Roman" w:hAnsi="Times New Roman" w:cs="Times New Roman"/>
          <w:b/>
          <w:bCs/>
          <w:sz w:val="20"/>
          <w:szCs w:val="20"/>
          <w:highlight w:val="white"/>
        </w:rPr>
        <w:outlineLvl w:val="2"/>
      </w:pP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 В поименный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список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работников, участвующих в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осуществлении закупок, включаются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следующие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работник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и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: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  <w:t xml:space="preserve"> 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-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 директор учреждения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и его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заместител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и, главный бухгалтер учреждения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;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  <w:t xml:space="preserve"> 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- 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члены коллегиального органа по осуществлению закупок (например, члены приемочной комиссии, члены комиссии по осуществлению закупок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единой комиссии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по осуществлению закупок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(далее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также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–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комиссия);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  <w:t xml:space="preserve"> 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- 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должностные лица контрактной службы или контрактный управляющий;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  <w:t xml:space="preserve"> 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- 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работники,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участвующие в процессе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подготовки и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осуществлени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я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закупки (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в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описании объекта закупки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подготовке и согласовании договоров,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приемке результатов закупки и т.д.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);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0" w:firstLine="0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     - 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иные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работники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 участвующие в осуществлении закупок.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0" w:firstLine="0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 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  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           4.2.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Формирование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п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рофил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ей участников закуп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ки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(контрагентов)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на каждого участника закупки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(контрагента)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, в том числе единственного поставщика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(подрядчика, исполнителя) 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в рекомендуемой форме профилей 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(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при каждой закупк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е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) и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направляет их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ответственному за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профилактику коррупции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при осуществлении закупок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: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0" w:firstLine="0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none"/>
          <w:lang w:eastAsia="ru-RU"/>
        </w:rPr>
        <w:t xml:space="preserve">     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  <w:lang w:eastAsia="ru-RU"/>
        </w:rPr>
        <w:t xml:space="preserve">         -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профили участников закуп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ки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–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до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принятия решения об определении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 контрагента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  <w:lang w:eastAsia="ru-RU"/>
        </w:rPr>
        <w:t xml:space="preserve">   -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профил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и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поставщик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ов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 (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подрядчик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ов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, исполнител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ей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)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–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до заключения договора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  <w:lang w:eastAsia="ru-RU"/>
        </w:rPr>
        <w:t xml:space="preserve">   -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профили субподрядчиков, соисполнителей 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white"/>
          <w:lang w:eastAsia="ru-RU"/>
        </w:rPr>
        <w:t xml:space="preserve">в течение 2 рабочих дней со дня 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white"/>
          <w:lang w:eastAsia="ru-RU"/>
        </w:rPr>
        <w:t xml:space="preserve">представления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подрядчиком, исполнителем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информации о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заключении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 договора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 с 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субподрядчик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ом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, соисполнител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  <w:lang w:eastAsia="ru-RU"/>
        </w:rPr>
        <w:t xml:space="preserve">ем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;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6"/>
        <w:ind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4.3. 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white"/>
        </w:rPr>
        <w:t xml:space="preserve">В профил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white"/>
        </w:rPr>
        <w:t xml:space="preserve">ь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white"/>
        </w:rPr>
        <w:t xml:space="preserve">каждого 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white"/>
        </w:rPr>
        <w:t xml:space="preserve">участник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white"/>
        </w:rPr>
        <w:t xml:space="preserve">а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white"/>
        </w:rPr>
        <w:t xml:space="preserve"> закуп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white"/>
        </w:rPr>
        <w:t xml:space="preserve">ки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white"/>
        </w:rPr>
        <w:t xml:space="preserve"> (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white"/>
        </w:rPr>
        <w:t xml:space="preserve">контрагента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white"/>
        </w:rPr>
        <w:t xml:space="preserve">)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white"/>
        </w:rPr>
        <w:t xml:space="preserve"> включается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white"/>
        </w:rPr>
        <w:t xml:space="preserve"> следующая информация: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6"/>
        <w:ind w:left="0" w:firstLine="0"/>
        <w:jc w:val="both"/>
        <w:widowControl/>
        <w:tabs>
          <w:tab w:val="left" w:pos="1134" w:leader="none"/>
        </w:tabs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  <w:t xml:space="preserve">               -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сведения о юридическом лице (наименование, фирменное наименование (при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наличии), место нахождения,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юридический и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почтовый адрес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а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, идентификационный номер налогоплательщика (при наличии)), учредителях, членах коллегиального исполнительного органа, лице, исполняющем функции единоличного исполнительного органа юридического лица;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6"/>
        <w:ind w:left="0" w:firstLine="0"/>
        <w:jc w:val="both"/>
        <w:widowControl/>
        <w:tabs>
          <w:tab w:val="left" w:pos="1134" w:leader="none"/>
        </w:tabs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  <w:t xml:space="preserve">          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    -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сведения об индивидуальном предпринимателе (фамилия, имя, отчество (при наличии), паспортные данные, место жительства), идентификационный номер налогоплательщика;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6"/>
        <w:ind w:left="0" w:right="0" w:firstLine="709"/>
        <w:jc w:val="both"/>
        <w:widowControl/>
        <w:tabs>
          <w:tab w:val="left" w:pos="1134" w:leader="none"/>
        </w:tabs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  <w:t xml:space="preserve">    -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 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сведения о представителях участников закуп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(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контрагент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а)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(фамилия, имя, отчество (при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наличии), паспортные данные, место жительства, идентификационный номер налогоплательщика (при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наличии), фамилия, имя, отчество (при наличии), дол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жность лица, подписавшего доверенность на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 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представление интересов от имени участника закуп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(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контрагента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)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)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;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6"/>
        <w:contextualSpacing w:val="0"/>
        <w:ind w:firstLine="0"/>
        <w:jc w:val="both"/>
        <w:widowControl/>
        <w:tabs>
          <w:tab w:val="left" w:pos="1134" w:leader="none"/>
        </w:tabs>
        <w:rPr>
          <w:rFonts w:ascii="Times New Roman" w:hAnsi="Times New Roman" w:cs="Times New Roman"/>
          <w:sz w:val="20"/>
          <w:szCs w:val="20"/>
          <w:highlight w:val="white"/>
        </w:rPr>
        <w:suppressLineNumbers w:val="0"/>
      </w:pPr>
      <w:r>
        <w:rPr>
          <w:rFonts w:ascii="Times New Roman" w:hAnsi="Times New Roman" w:cs="Times New Roman"/>
          <w:sz w:val="20"/>
          <w:szCs w:val="20"/>
          <w:highlight w:val="none"/>
        </w:rPr>
        <w:t xml:space="preserve">                  -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иные сведения, содержащиеся в представленных участником закуп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(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контрагентом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)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или имеющи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х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ся в распоряжении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у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чреждения документах,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реестрах ранее заключенных договор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ов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 Единой информационной систе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ме в сфере закупок, </w:t>
      </w:r>
      <w:r>
        <w:rPr>
          <w:rFonts w:ascii="Times New Roman" w:hAnsi="Times New Roman" w:cs="Times New Roman"/>
          <w:color w:val="343432"/>
          <w:sz w:val="20"/>
          <w:szCs w:val="20"/>
          <w:highlight w:val="white"/>
        </w:rPr>
        <w:t xml:space="preserve">иной информации</w:t>
      </w:r>
      <w:r>
        <w:rPr>
          <w:rFonts w:ascii="Times New Roman" w:hAnsi="Times New Roman" w:cs="Times New Roman"/>
          <w:color w:val="343432"/>
          <w:sz w:val="20"/>
          <w:szCs w:val="20"/>
          <w:highlight w:val="white"/>
        </w:rPr>
        <w:t xml:space="preserve">,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в том числе в различных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общедоступных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агрегаторах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информации,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позволяющи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х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выявить возможные связи, свидетельствующие о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 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наличии у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работник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личной заинтересованности, которая приводит или может привести к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конфликту интересов при осуществлении закуп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;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6"/>
        <w:contextualSpacing w:val="0"/>
        <w:ind w:left="0" w:firstLine="0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0"/>
          <w:szCs w:val="20"/>
          <w:highlight w:val="none"/>
        </w:rPr>
        <w:suppressLineNumbers w:val="0"/>
      </w:pPr>
      <w:r>
        <w:rPr>
          <w:rFonts w:ascii="Times New Roman" w:hAnsi="Times New Roman" w:cs="Times New Roman"/>
          <w:sz w:val="20"/>
          <w:szCs w:val="20"/>
          <w:highlight w:val="none"/>
        </w:rPr>
        <w:t xml:space="preserve">               -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дата формирования пр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офиля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участник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закуп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(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контрагента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)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.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6"/>
        <w:contextualSpacing w:val="0"/>
        <w:ind w:left="0" w:firstLine="0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0"/>
          <w:szCs w:val="20"/>
          <w:highlight w:val="white"/>
        </w:rPr>
        <w:suppressLineNumbers w:val="0"/>
      </w:pPr>
      <w:r>
        <w:rPr>
          <w:rFonts w:ascii="Times New Roman" w:hAnsi="Times New Roman" w:cs="Times New Roman"/>
          <w:sz w:val="20"/>
          <w:szCs w:val="20"/>
          <w:highlight w:val="none"/>
        </w:rPr>
        <w:t xml:space="preserve">           </w:t>
      </w:r>
      <w:r>
        <w:rPr>
          <w:rFonts w:ascii="Times New Roman" w:hAnsi="Times New Roman" w:cs="Times New Roman"/>
          <w:sz w:val="20"/>
          <w:szCs w:val="20"/>
          <w:highlight w:val="none"/>
        </w:rPr>
        <w:t xml:space="preserve">        4.5.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П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роведение п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ерекрестного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 анализа сведений,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содержащихся в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профилях 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работников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и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профилях участников закуп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ки 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(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контрагентов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) 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иной информации 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при осуществлении закуп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ки (заключении договора)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;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0" w:firstLine="0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4.6.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существля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ть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учет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сведений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проведении перекрестного анализа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по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каждой закупке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учреждения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в том числе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об участниках закупки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(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контрагентах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)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количестве участников каждой закупк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 количестве сформированных профилей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участников закупки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(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контрагентов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)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дат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е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проведени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я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перекрестн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ого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анализ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по каждой закупке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наличи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(отсутстви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) фактов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возможны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х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связ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ей, в том числе неформальных связей работника и 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аффилированных с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ним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лиц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с участником закупки (контрагентом),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и сведени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й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о таком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участник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е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закупки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(контрагенте)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 мерах, принятых </w:t>
      </w:r>
      <w:r>
        <w:rPr>
          <w:rFonts w:ascii="Times New Roman" w:hAnsi="Times New Roman" w:eastAsia="Calibri" w:cs="Times New Roman"/>
          <w:sz w:val="20"/>
          <w:szCs w:val="20"/>
          <w:highlight w:val="white"/>
          <w:lang w:eastAsia="en-US"/>
        </w:rPr>
        <w:t xml:space="preserve">по</w:t>
      </w:r>
      <w:r>
        <w:rPr>
          <w:rFonts w:ascii="Times New Roman" w:hAnsi="Times New Roman" w:eastAsia="Calibri" w:cs="Times New Roman"/>
          <w:sz w:val="20"/>
          <w:szCs w:val="20"/>
          <w:highlight w:val="white"/>
          <w:lang w:eastAsia="en-US"/>
        </w:rPr>
        <w:t xml:space="preserve"> </w:t>
      </w:r>
      <w:r>
        <w:rPr>
          <w:rFonts w:ascii="Times New Roman" w:hAnsi="Times New Roman" w:eastAsia="Calibri" w:cs="Times New Roman"/>
          <w:sz w:val="20"/>
          <w:szCs w:val="20"/>
          <w:highlight w:val="white"/>
          <w:lang w:eastAsia="en-US"/>
        </w:rPr>
        <w:t xml:space="preserve">предотвращению и</w:t>
      </w:r>
      <w:r>
        <w:rPr>
          <w:rFonts w:ascii="Times New Roman" w:hAnsi="Times New Roman" w:eastAsia="Calibri" w:cs="Times New Roman"/>
          <w:sz w:val="20"/>
          <w:szCs w:val="20"/>
          <w:highlight w:val="white"/>
          <w:lang w:eastAsia="en-US"/>
        </w:rPr>
        <w:t xml:space="preserve"> </w:t>
      </w:r>
      <w:r>
        <w:rPr>
          <w:rFonts w:ascii="Times New Roman" w:hAnsi="Times New Roman" w:eastAsia="Calibri" w:cs="Times New Roman"/>
          <w:sz w:val="20"/>
          <w:szCs w:val="20"/>
          <w:highlight w:val="white"/>
          <w:lang w:eastAsia="en-US"/>
        </w:rPr>
        <w:t xml:space="preserve">(</w:t>
      </w:r>
      <w:r>
        <w:rPr>
          <w:rFonts w:ascii="Times New Roman" w:hAnsi="Times New Roman" w:eastAsia="Calibri" w:cs="Times New Roman"/>
          <w:sz w:val="20"/>
          <w:szCs w:val="20"/>
          <w:highlight w:val="white"/>
          <w:lang w:eastAsia="en-US"/>
        </w:rPr>
        <w:t xml:space="preserve">или) урегулированию конфликта интересов</w:t>
      </w:r>
      <w:r>
        <w:rPr>
          <w:rFonts w:ascii="Times New Roman" w:hAnsi="Times New Roman" w:cs="Times New Roman"/>
          <w:sz w:val="20"/>
          <w:szCs w:val="20"/>
          <w:highlight w:val="white"/>
          <w:lang w:val="ru-RU"/>
        </w:rPr>
        <w:t xml:space="preserve">;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0" w:firstLine="0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none"/>
          <w:lang w:val="ru-RU"/>
        </w:rPr>
        <w:t xml:space="preserve">             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4.7.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Е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жеквартально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нарастающим итогом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(первый, второй и третий кварталы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,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год)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формируют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отчет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о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проведении работы по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 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выявлени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ю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возможно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сти возникновения конфликта интересо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в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работник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ов учреждения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при осуществлении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закуп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ок для нужд учреждения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(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рекомендуемая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форма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«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Отчет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проведении работы по выявлени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ю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возможно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сти возникновения конфликта интересов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работник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ов учреждения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при осуществлении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закуп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ок для нужд учреждения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»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прилагается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)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до 10 числа месяца,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следующего за отчетным кварталом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и представляют его на рассмотрению директору учреждения.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0" w:right="0" w:firstLine="0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0"/>
        <w:jc w:val="both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      5.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Руководитель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ГАУСО СО «КЦСОН города Полевского»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, руководители структурных подразделений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ГАУСО СО «КЦСОН города Полевского»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обязаны предоставлять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ответственному за профилактику коррупции</w:t>
      </w:r>
      <w:r>
        <w:rPr>
          <w:rFonts w:ascii="Times New Roman" w:hAnsi="Times New Roman" w:cs="Times New Roman"/>
          <w:sz w:val="20"/>
          <w:szCs w:val="20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  <w:lang w:eastAsia="ru-RU"/>
        </w:rPr>
        <w:t xml:space="preserve">при осуществлении закупок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и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ответственн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ому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за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осуществление закупок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: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6"/>
        <w:ind w:firstLine="0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     - информацию о себе и о работниках, находящихся в их непосредственном подчинении, участвующих в осуществлении закупок, а также об аффилированных с ними лицах;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6"/>
        <w:ind w:firstLine="0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          - информаци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ю уполномоченных органов, субъектов общественного контроля, юридических лиц и индивидуальных предпринимателей, общественных объединений и граждан, поступившую в учреждение и содержащую сведения о нарушениях в действиях работников при осуществлении закупок;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0"/>
        <w:jc w:val="both"/>
        <w:tabs>
          <w:tab w:val="clear" w:pos="720" w:leader="none"/>
          <w:tab w:val="left" w:pos="993" w:leader="none"/>
        </w:tabs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     - иную информацию, содержащую сведения о возможной личной заинтересованности работников при осуществлении закупок, в том числе информацию, полученную из средств массовой информации, информационно-телекоммуникационной сети «Интернет».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0"/>
        <w:jc w:val="both"/>
        <w:tabs>
          <w:tab w:val="clear" w:pos="720" w:leader="none"/>
          <w:tab w:val="left" w:pos="993" w:leader="none"/>
        </w:tabs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6"/>
        <w:ind w:firstLine="0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     6.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Р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аботники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, включенные в поименный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список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работников, участвующих в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осуществлении закупок, предоставляют ответственному за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профилактику коррупции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при осуществлении закупок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6"/>
        <w:ind w:firstLine="0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         -  информацию (актуализированную информацию) о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б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аффилированных с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работником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лицах по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установленной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форме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(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рекомендуемая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форма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«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Информация о близких родственниках, свойственниках, иных а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ффилированных лицах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работника учреждения, участвующего в осуществлении закупок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»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)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6"/>
        <w:ind w:firstLine="0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              -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актуализированную анкету при изменении анкетных данных,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 представленных при поступлении на работу, в течение трех рабочих дней со дня изменения анкетных данных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;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6"/>
        <w:ind w:firstLine="0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              - декларацию о возможной личной заинтересованности по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уста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новленной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форме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(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«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Декларация о возможной личной заинтересованности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при осуществлении закупок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»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)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.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6"/>
        <w:ind w:firstLine="0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6"/>
        <w:ind w:firstLine="0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     7.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В случае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выя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влени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я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по результатам перекрестного анализа факт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наличия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возможны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х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связ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ей, в том числе неформальных связей работник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а 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 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аффилированны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х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с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ним лиц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с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участни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ком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закупки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(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контрагент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ом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)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 которые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могут свидетельствовать о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личной заинтересованности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в результатах закупки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работник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аффилированных с ним лиц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ответственный за профилактику коррупции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при осуществлении закупок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направляет заключение по результатам перекрестного анализа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также директор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у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учреждения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руководител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ю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структурн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ого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подразделени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я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учреждения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,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в непосредственном подчинении которого находится работник,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в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 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контрактную службу, комиссию по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о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существлению закупок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 w:eastAsia="Calibri" w:cs="Times New Roman"/>
          <w:sz w:val="20"/>
          <w:szCs w:val="20"/>
          <w:highlight w:val="white"/>
          <w:lang w:eastAsia="en-US"/>
        </w:rPr>
        <w:t xml:space="preserve">в</w:t>
      </w:r>
      <w:r>
        <w:rPr>
          <w:rFonts w:ascii="Times New Roman" w:hAnsi="Times New Roman" w:eastAsia="Calibri" w:cs="Times New Roman"/>
          <w:sz w:val="20"/>
          <w:szCs w:val="20"/>
          <w:highlight w:val="white"/>
          <w:lang w:eastAsia="en-US"/>
        </w:rPr>
        <w:t xml:space="preserve"> </w:t>
      </w:r>
      <w:r>
        <w:rPr>
          <w:rFonts w:ascii="Times New Roman" w:hAnsi="Times New Roman" w:eastAsia="Calibri" w:cs="Times New Roman"/>
          <w:sz w:val="20"/>
          <w:szCs w:val="20"/>
          <w:highlight w:val="white"/>
          <w:lang w:eastAsia="en-US"/>
        </w:rPr>
        <w:t xml:space="preserve">целях принятия мер по предотвращению и (или) урегулированию конфликта интересов.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77"/>
        <w:ind w:right="93" w:firstLine="0"/>
        <w:jc w:val="both"/>
        <w:widowControl w:val="off"/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0"/>
        <w:jc w:val="both"/>
        <w:tabs>
          <w:tab w:val="left" w:pos="142" w:leader="none"/>
          <w:tab w:val="clear" w:pos="720" w:leader="none"/>
          <w:tab w:val="left" w:pos="851" w:leader="none"/>
          <w:tab w:val="left" w:pos="1134" w:leader="none"/>
          <w:tab w:val="left" w:pos="9781" w:leader="none"/>
        </w:tabs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         8. Контроль за исполнением настоящего приказа </w:t>
      </w:r>
      <w:r>
        <w:rPr>
          <w:rFonts w:ascii="Times New Roman" w:hAnsi="Times New Roman" w:eastAsia="Times New Roman" w:cs="Times New Roman"/>
          <w:color w:val="auto"/>
          <w:sz w:val="20"/>
          <w:szCs w:val="20"/>
          <w:highlight w:val="white"/>
          <w:lang w:val="ru-RU" w:eastAsia="ru-RU" w:bidi="ar-SA"/>
        </w:rPr>
        <w:t xml:space="preserve">оставляю за собой.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0"/>
        <w:jc w:val="both"/>
        <w:tabs>
          <w:tab w:val="left" w:pos="142" w:leader="none"/>
          <w:tab w:val="clear" w:pos="720" w:leader="none"/>
          <w:tab w:val="left" w:pos="851" w:leader="none"/>
          <w:tab w:val="left" w:pos="1134" w:leader="none"/>
          <w:tab w:val="left" w:pos="9781" w:leader="none"/>
        </w:tabs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0"/>
        <w:jc w:val="both"/>
        <w:tabs>
          <w:tab w:val="left" w:pos="142" w:leader="none"/>
          <w:tab w:val="clear" w:pos="720" w:leader="none"/>
          <w:tab w:val="left" w:pos="851" w:leader="none"/>
          <w:tab w:val="left" w:pos="1134" w:leader="none"/>
          <w:tab w:val="left" w:pos="9781" w:leader="none"/>
        </w:tabs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77"/>
        <w:ind w:right="-235" w:firstLine="0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>
        <w:rPr>
          <w:rFonts w:ascii="Times New Roman" w:hAnsi="Times New Roman" w:cs="Times New Roman"/>
          <w:sz w:val="20"/>
          <w:szCs w:val="20"/>
        </w:rPr>
        <w:t xml:space="preserve">Директор                                                                                                                                                  Л.Р.Подольская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right="-235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77"/>
        <w:ind w:right="-235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77"/>
        <w:ind w:left="0" w:right="567" w:firstLine="0"/>
        <w:jc w:val="both"/>
        <w:spacing w:before="0" w:after="0"/>
        <w:widowControl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 xml:space="preserve">СОГЛАСОВАНО: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77"/>
        <w:ind w:left="0" w:right="567" w:firstLine="0"/>
        <w:jc w:val="both"/>
        <w:spacing w:before="0" w:after="0"/>
        <w:widowControl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Юрисконсульт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77"/>
        <w:ind w:left="0" w:right="567" w:firstLine="0"/>
        <w:jc w:val="both"/>
        <w:spacing w:before="0" w:after="0"/>
        <w:widowControl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___________И.В.Федоренко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0" w:right="567" w:firstLine="0"/>
        <w:jc w:val="both"/>
        <w:spacing w:before="0" w:after="0"/>
        <w:widowControl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0" w:right="567" w:firstLine="0"/>
        <w:jc w:val="both"/>
        <w:spacing w:before="0" w:after="0"/>
        <w:widowControl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С приказом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ознакомлены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: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____________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С.В.Симогина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____________О.В.Ишимбаева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____________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Н.А.Мансурова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____________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Л.А.Рыжова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____________М.Р.Аглиуллина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____________А.С.Антипин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____________О.А.Буторина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____________О.В.Власова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____________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Е.Л.Еремина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____________А.В.Карякин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____________Н.Б.Кузнецова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____________Н.В.Кунгурцева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____________Ю.Р.Лаптева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____________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И.А.Михайлова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____________Н.А.Михмель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____________Л.В.Отраднова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____________Е.Н.Сабанова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____________И.В.Сабанов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____________Т.П.Синяшова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____________Н.В.Сотникова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  <w:t xml:space="preserve">___________И.В.Шептаева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____________Н.И.Уманцева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____________М.В.Чухарева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____________И.В.Федоренко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____________Ю.А.Хафизова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____________Ю.П.Шаньгина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</w:rPr>
        <w:t xml:space="preserve">____________Л.В.Шептаева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  <w:t xml:space="preserve">___________ ____________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___________ ____________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77"/>
        <w:ind w:left="0" w:right="566" w:firstLine="0"/>
        <w:jc w:val="both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sectPr>
      <w:headerReference w:type="default" r:id="rId9"/>
      <w:footnotePr/>
      <w:endnotePr/>
      <w:type w:val="nextPage"/>
      <w:pgSz w:w="12240" w:h="15840" w:orient="portrait"/>
      <w:pgMar w:top="1134" w:right="567" w:bottom="1134" w:left="1418" w:header="720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">
    <w:panose1 w:val="02020603050405020304"/>
  </w:font>
  <w:font w:name="Symbol">
    <w:panose1 w:val="05050102010706020507"/>
  </w:font>
  <w:font w:name="Liberation Serif">
    <w:panose1 w:val="02020603050405020304"/>
  </w:font>
  <w:font w:name="Calibri">
    <w:panose1 w:val="020F0502020204030204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Mangal">
    <w:panose1 w:val="02040503050203030202"/>
  </w:font>
  <w:font w:name="Wingdings">
    <w:panose1 w:val="05000000000000000000"/>
  </w:font>
  <w:font w:name="Liberation Sans">
    <w:panose1 w:val="020B0604020202020204"/>
  </w:font>
  <w:font w:name="Cambria">
    <w:panose1 w:val="02040503050406030204"/>
  </w:font>
  <w:font w:name="Microsoft YaHei">
    <w:panose1 w:val="020B050302020402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2"/>
      <w:jc w:val="center"/>
      <w:rPr>
        <w:rFonts w:ascii="Liberation Serif" w:hAnsi="Liberation Serif" w:cs="Liberation Serif"/>
        <w:sz w:val="28"/>
        <w:szCs w:val="28"/>
      </w:rPr>
    </w:pPr>
    <w:r>
      <w:rPr>
        <w:rFonts w:ascii="Liberation Serif" w:hAnsi="Liberation Serif" w:cs="Liberation Serif"/>
        <w:sz w:val="28"/>
        <w:szCs w:val="28"/>
      </w:rPr>
    </w:r>
    <w:r/>
  </w:p>
  <w:p>
    <w:pPr>
      <w:pStyle w:val="90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  <w:rPr>
        <w:sz w:val="22"/>
        <w:szCs w:val="22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  <w:rPr>
        <w:sz w:val="22"/>
        <w:szCs w:val="22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0" w:leader="none"/>
        </w:tabs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0" w:leader="none"/>
        </w:tabs>
      </w:pPr>
    </w:lvl>
  </w:abstractNum>
  <w:abstractNum w:abstractNumId="4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</w:pPr>
      <w:rPr>
        <w:rFonts w:hint="default" w:ascii="Times New Roman" w:hAnsi="Times New Roman" w:cs="Times New Roman"/>
        <w:b w:val="0"/>
        <w:bCs w:val="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ü"/>
      <w:lvlJc w:val="left"/>
      <w:pPr>
        <w:ind w:left="720" w:hanging="360"/>
      </w:pPr>
      <w:rPr>
        <w:rFonts w:hint="default"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ü"/>
      <w:lvlJc w:val="left"/>
      <w:pPr>
        <w:ind w:left="720" w:hanging="360"/>
      </w:pPr>
      <w:rPr>
        <w:rFonts w:hint="default"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ü"/>
      <w:lvlJc w:val="left"/>
      <w:pPr>
        <w:ind w:left="720" w:hanging="360"/>
      </w:pPr>
      <w:rPr>
        <w:rFonts w:hint="default"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ü"/>
      <w:lvlJc w:val="left"/>
      <w:pPr>
        <w:ind w:left="720" w:hanging="360"/>
      </w:pPr>
      <w:rPr>
        <w:rFonts w:hint="default"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ü"/>
      <w:lvlJc w:val="left"/>
      <w:pPr>
        <w:ind w:left="720" w:hanging="360"/>
      </w:pPr>
      <w:rPr>
        <w:rFonts w:hint="default"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8">
    <w:name w:val="Heading 1 Char"/>
    <w:basedOn w:val="882"/>
    <w:link w:val="878"/>
    <w:uiPriority w:val="9"/>
    <w:rPr>
      <w:rFonts w:ascii="Arial" w:hAnsi="Arial" w:eastAsia="Arial" w:cs="Arial"/>
      <w:sz w:val="40"/>
      <w:szCs w:val="40"/>
    </w:rPr>
  </w:style>
  <w:style w:type="character" w:styleId="709">
    <w:name w:val="Heading 2 Char"/>
    <w:basedOn w:val="882"/>
    <w:link w:val="879"/>
    <w:uiPriority w:val="9"/>
    <w:rPr>
      <w:rFonts w:ascii="Arial" w:hAnsi="Arial" w:eastAsia="Arial" w:cs="Arial"/>
      <w:sz w:val="34"/>
    </w:rPr>
  </w:style>
  <w:style w:type="character" w:styleId="710">
    <w:name w:val="Heading 3 Char"/>
    <w:basedOn w:val="882"/>
    <w:link w:val="880"/>
    <w:uiPriority w:val="9"/>
    <w:rPr>
      <w:rFonts w:ascii="Arial" w:hAnsi="Arial" w:eastAsia="Arial" w:cs="Arial"/>
      <w:sz w:val="30"/>
      <w:szCs w:val="30"/>
    </w:rPr>
  </w:style>
  <w:style w:type="character" w:styleId="711">
    <w:name w:val="Heading 4 Char"/>
    <w:basedOn w:val="882"/>
    <w:link w:val="881"/>
    <w:uiPriority w:val="9"/>
    <w:rPr>
      <w:rFonts w:ascii="Arial" w:hAnsi="Arial" w:eastAsia="Arial" w:cs="Arial"/>
      <w:b/>
      <w:bCs/>
      <w:sz w:val="26"/>
      <w:szCs w:val="26"/>
    </w:rPr>
  </w:style>
  <w:style w:type="paragraph" w:styleId="712">
    <w:name w:val="Heading 5"/>
    <w:basedOn w:val="877"/>
    <w:next w:val="877"/>
    <w:link w:val="71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3">
    <w:name w:val="Heading 5 Char"/>
    <w:basedOn w:val="882"/>
    <w:link w:val="712"/>
    <w:uiPriority w:val="9"/>
    <w:rPr>
      <w:rFonts w:ascii="Arial" w:hAnsi="Arial" w:eastAsia="Arial" w:cs="Arial"/>
      <w:b/>
      <w:bCs/>
      <w:sz w:val="24"/>
      <w:szCs w:val="24"/>
    </w:rPr>
  </w:style>
  <w:style w:type="paragraph" w:styleId="714">
    <w:name w:val="Heading 6"/>
    <w:basedOn w:val="877"/>
    <w:next w:val="877"/>
    <w:link w:val="71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5">
    <w:name w:val="Heading 6 Char"/>
    <w:basedOn w:val="882"/>
    <w:link w:val="714"/>
    <w:uiPriority w:val="9"/>
    <w:rPr>
      <w:rFonts w:ascii="Arial" w:hAnsi="Arial" w:eastAsia="Arial" w:cs="Arial"/>
      <w:b/>
      <w:bCs/>
      <w:sz w:val="22"/>
      <w:szCs w:val="22"/>
    </w:rPr>
  </w:style>
  <w:style w:type="paragraph" w:styleId="716">
    <w:name w:val="Heading 7"/>
    <w:basedOn w:val="877"/>
    <w:next w:val="877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7">
    <w:name w:val="Heading 7 Char"/>
    <w:basedOn w:val="882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8">
    <w:name w:val="Heading 8"/>
    <w:basedOn w:val="877"/>
    <w:next w:val="877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9">
    <w:name w:val="Heading 8 Char"/>
    <w:basedOn w:val="882"/>
    <w:link w:val="718"/>
    <w:uiPriority w:val="9"/>
    <w:rPr>
      <w:rFonts w:ascii="Arial" w:hAnsi="Arial" w:eastAsia="Arial" w:cs="Arial"/>
      <w:i/>
      <w:iCs/>
      <w:sz w:val="22"/>
      <w:szCs w:val="22"/>
    </w:rPr>
  </w:style>
  <w:style w:type="paragraph" w:styleId="720">
    <w:name w:val="Heading 9"/>
    <w:basedOn w:val="877"/>
    <w:next w:val="877"/>
    <w:link w:val="72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1">
    <w:name w:val="Heading 9 Char"/>
    <w:basedOn w:val="882"/>
    <w:link w:val="720"/>
    <w:uiPriority w:val="9"/>
    <w:rPr>
      <w:rFonts w:ascii="Arial" w:hAnsi="Arial" w:eastAsia="Arial" w:cs="Arial"/>
      <w:i/>
      <w:iCs/>
      <w:sz w:val="21"/>
      <w:szCs w:val="21"/>
    </w:rPr>
  </w:style>
  <w:style w:type="paragraph" w:styleId="722">
    <w:name w:val="No Spacing"/>
    <w:uiPriority w:val="1"/>
    <w:qFormat/>
    <w:pPr>
      <w:spacing w:before="0" w:after="0" w:line="240" w:lineRule="auto"/>
    </w:pPr>
  </w:style>
  <w:style w:type="character" w:styleId="723">
    <w:name w:val="Title Char"/>
    <w:basedOn w:val="882"/>
    <w:link w:val="910"/>
    <w:uiPriority w:val="10"/>
    <w:rPr>
      <w:sz w:val="48"/>
      <w:szCs w:val="48"/>
    </w:rPr>
  </w:style>
  <w:style w:type="paragraph" w:styleId="724">
    <w:name w:val="Subtitle"/>
    <w:basedOn w:val="877"/>
    <w:next w:val="877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>
    <w:name w:val="Subtitle Char"/>
    <w:basedOn w:val="882"/>
    <w:link w:val="724"/>
    <w:uiPriority w:val="11"/>
    <w:rPr>
      <w:sz w:val="24"/>
      <w:szCs w:val="24"/>
    </w:rPr>
  </w:style>
  <w:style w:type="paragraph" w:styleId="726">
    <w:name w:val="Quote"/>
    <w:basedOn w:val="877"/>
    <w:next w:val="877"/>
    <w:link w:val="727"/>
    <w:uiPriority w:val="29"/>
    <w:qFormat/>
    <w:pPr>
      <w:ind w:left="720" w:right="720"/>
    </w:pPr>
    <w:rPr>
      <w:i/>
    </w:rPr>
  </w:style>
  <w:style w:type="character" w:styleId="727">
    <w:name w:val="Quote Char"/>
    <w:link w:val="726"/>
    <w:uiPriority w:val="29"/>
    <w:rPr>
      <w:i/>
    </w:rPr>
  </w:style>
  <w:style w:type="paragraph" w:styleId="728">
    <w:name w:val="Intense Quote"/>
    <w:basedOn w:val="877"/>
    <w:next w:val="877"/>
    <w:link w:val="72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>
    <w:name w:val="Intense Quote Char"/>
    <w:link w:val="728"/>
    <w:uiPriority w:val="30"/>
    <w:rPr>
      <w:i/>
    </w:rPr>
  </w:style>
  <w:style w:type="character" w:styleId="730">
    <w:name w:val="Header Char"/>
    <w:basedOn w:val="882"/>
    <w:link w:val="902"/>
    <w:uiPriority w:val="99"/>
  </w:style>
  <w:style w:type="character" w:styleId="731">
    <w:name w:val="Footer Char"/>
    <w:basedOn w:val="882"/>
    <w:link w:val="909"/>
    <w:uiPriority w:val="99"/>
  </w:style>
  <w:style w:type="character" w:styleId="732">
    <w:name w:val="Caption Char"/>
    <w:basedOn w:val="895"/>
    <w:link w:val="909"/>
    <w:uiPriority w:val="99"/>
  </w:style>
  <w:style w:type="table" w:styleId="733">
    <w:name w:val="Table Grid"/>
    <w:basedOn w:val="9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4">
    <w:name w:val="Table Grid Light"/>
    <w:basedOn w:val="9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5">
    <w:name w:val="Plain Table 1"/>
    <w:basedOn w:val="9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>
    <w:name w:val="Plain Table 2"/>
    <w:basedOn w:val="9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8">
    <w:name w:val="Plain Table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Plain Table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0">
    <w:name w:val="Grid Table 1 Light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4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2">
    <w:name w:val="Grid Table 4 - Accent 1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3">
    <w:name w:val="Grid Table 4 - Accent 2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Grid Table 4 - Accent 3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5">
    <w:name w:val="Grid Table 4 - Accent 4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Grid Table 4 - Accent 5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7">
    <w:name w:val="Grid Table 4 - Accent 6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8">
    <w:name w:val="Grid Table 5 Dark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9">
    <w:name w:val="Grid Table 5 Dark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2">
    <w:name w:val="Grid Table 5 Dark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75">
    <w:name w:val="Grid Table 6 Colorful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6">
    <w:name w:val="Grid Table 6 Colorful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7">
    <w:name w:val="Grid Table 6 Colorful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8">
    <w:name w:val="Grid Table 6 Colorful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9">
    <w:name w:val="Grid Table 6 Colorful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0">
    <w:name w:val="Grid Table 6 Colorful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1">
    <w:name w:val="Grid Table 6 Colorful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2">
    <w:name w:val="Grid Table 7 Colorful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7">
    <w:name w:val="List Table 2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8">
    <w:name w:val="List Table 2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9">
    <w:name w:val="List Table 2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0">
    <w:name w:val="List Table 2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1">
    <w:name w:val="List Table 2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2">
    <w:name w:val="List Table 2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3">
    <w:name w:val="List Table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5 Dark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6 Colorful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5">
    <w:name w:val="List Table 6 Colorful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6">
    <w:name w:val="List Table 6 Colorful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7">
    <w:name w:val="List Table 6 Colorful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8">
    <w:name w:val="List Table 6 Colorful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9">
    <w:name w:val="List Table 6 Colorful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0">
    <w:name w:val="List Table 6 Colorful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1">
    <w:name w:val="List Table 7 Colorful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2">
    <w:name w:val="List Table 7 Colorful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33">
    <w:name w:val="List Table 7 Colorful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34">
    <w:name w:val="List Table 7 Colorful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35">
    <w:name w:val="List Table 7 Colorful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36">
    <w:name w:val="List Table 7 Colorful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37">
    <w:name w:val="List Table 7 Colorful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38">
    <w:name w:val="Lined - Accent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9">
    <w:name w:val="Lined - Accent 1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0">
    <w:name w:val="Lined - Accent 2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1">
    <w:name w:val="Lined - Accent 3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2">
    <w:name w:val="Lined - Accent 4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3">
    <w:name w:val="Lined - Accent 5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4">
    <w:name w:val="Lined - Accent 6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5">
    <w:name w:val="Bordered &amp; Lined - Accent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6">
    <w:name w:val="Bordered &amp; Lined - Accent 1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7">
    <w:name w:val="Bordered &amp; Lined - Accent 2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8">
    <w:name w:val="Bordered &amp; Lined - Accent 3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9">
    <w:name w:val="Bordered &amp; Lined - Accent 4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0">
    <w:name w:val="Bordered &amp; Lined - Accent 5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1">
    <w:name w:val="Bordered &amp; Lined - Accent 6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2">
    <w:name w:val="Bordered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3">
    <w:name w:val="Bordered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4">
    <w:name w:val="Bordered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5">
    <w:name w:val="Bordered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6">
    <w:name w:val="Bordered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7">
    <w:name w:val="Bordered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8">
    <w:name w:val="Bordered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9">
    <w:name w:val="Hyperlink"/>
    <w:uiPriority w:val="99"/>
    <w:unhideWhenUsed/>
    <w:rPr>
      <w:color w:val="0000ff" w:themeColor="hyperlink"/>
      <w:u w:val="single"/>
    </w:rPr>
  </w:style>
  <w:style w:type="paragraph" w:styleId="860">
    <w:name w:val="footnote text"/>
    <w:basedOn w:val="877"/>
    <w:link w:val="861"/>
    <w:uiPriority w:val="99"/>
    <w:semiHidden/>
    <w:unhideWhenUsed/>
    <w:pPr>
      <w:spacing w:after="40" w:line="240" w:lineRule="auto"/>
    </w:pPr>
    <w:rPr>
      <w:sz w:val="18"/>
    </w:rPr>
  </w:style>
  <w:style w:type="character" w:styleId="861">
    <w:name w:val="Footnote Text Char"/>
    <w:link w:val="860"/>
    <w:uiPriority w:val="99"/>
    <w:rPr>
      <w:sz w:val="18"/>
    </w:rPr>
  </w:style>
  <w:style w:type="character" w:styleId="862">
    <w:name w:val="footnote reference"/>
    <w:basedOn w:val="882"/>
    <w:uiPriority w:val="99"/>
    <w:unhideWhenUsed/>
    <w:rPr>
      <w:vertAlign w:val="superscript"/>
    </w:rPr>
  </w:style>
  <w:style w:type="paragraph" w:styleId="863">
    <w:name w:val="endnote text"/>
    <w:basedOn w:val="877"/>
    <w:link w:val="864"/>
    <w:uiPriority w:val="99"/>
    <w:semiHidden/>
    <w:unhideWhenUsed/>
    <w:pPr>
      <w:spacing w:after="0" w:line="240" w:lineRule="auto"/>
    </w:pPr>
    <w:rPr>
      <w:sz w:val="20"/>
    </w:rPr>
  </w:style>
  <w:style w:type="character" w:styleId="864">
    <w:name w:val="Endnote Text Char"/>
    <w:link w:val="863"/>
    <w:uiPriority w:val="99"/>
    <w:rPr>
      <w:sz w:val="20"/>
    </w:rPr>
  </w:style>
  <w:style w:type="character" w:styleId="865">
    <w:name w:val="endnote reference"/>
    <w:basedOn w:val="882"/>
    <w:uiPriority w:val="99"/>
    <w:semiHidden/>
    <w:unhideWhenUsed/>
    <w:rPr>
      <w:vertAlign w:val="superscript"/>
    </w:rPr>
  </w:style>
  <w:style w:type="paragraph" w:styleId="866">
    <w:name w:val="toc 1"/>
    <w:basedOn w:val="877"/>
    <w:next w:val="877"/>
    <w:uiPriority w:val="39"/>
    <w:unhideWhenUsed/>
    <w:pPr>
      <w:ind w:left="0" w:right="0" w:firstLine="0"/>
      <w:spacing w:after="57"/>
    </w:pPr>
  </w:style>
  <w:style w:type="paragraph" w:styleId="867">
    <w:name w:val="toc 2"/>
    <w:basedOn w:val="877"/>
    <w:next w:val="877"/>
    <w:uiPriority w:val="39"/>
    <w:unhideWhenUsed/>
    <w:pPr>
      <w:ind w:left="283" w:right="0" w:firstLine="0"/>
      <w:spacing w:after="57"/>
    </w:pPr>
  </w:style>
  <w:style w:type="paragraph" w:styleId="868">
    <w:name w:val="toc 3"/>
    <w:basedOn w:val="877"/>
    <w:next w:val="877"/>
    <w:uiPriority w:val="39"/>
    <w:unhideWhenUsed/>
    <w:pPr>
      <w:ind w:left="567" w:right="0" w:firstLine="0"/>
      <w:spacing w:after="57"/>
    </w:pPr>
  </w:style>
  <w:style w:type="paragraph" w:styleId="869">
    <w:name w:val="toc 4"/>
    <w:basedOn w:val="877"/>
    <w:next w:val="877"/>
    <w:uiPriority w:val="39"/>
    <w:unhideWhenUsed/>
    <w:pPr>
      <w:ind w:left="850" w:right="0" w:firstLine="0"/>
      <w:spacing w:after="57"/>
    </w:pPr>
  </w:style>
  <w:style w:type="paragraph" w:styleId="870">
    <w:name w:val="toc 5"/>
    <w:basedOn w:val="877"/>
    <w:next w:val="877"/>
    <w:uiPriority w:val="39"/>
    <w:unhideWhenUsed/>
    <w:pPr>
      <w:ind w:left="1134" w:right="0" w:firstLine="0"/>
      <w:spacing w:after="57"/>
    </w:pPr>
  </w:style>
  <w:style w:type="paragraph" w:styleId="871">
    <w:name w:val="toc 6"/>
    <w:basedOn w:val="877"/>
    <w:next w:val="877"/>
    <w:uiPriority w:val="39"/>
    <w:unhideWhenUsed/>
    <w:pPr>
      <w:ind w:left="1417" w:right="0" w:firstLine="0"/>
      <w:spacing w:after="57"/>
    </w:pPr>
  </w:style>
  <w:style w:type="paragraph" w:styleId="872">
    <w:name w:val="toc 7"/>
    <w:basedOn w:val="877"/>
    <w:next w:val="877"/>
    <w:uiPriority w:val="39"/>
    <w:unhideWhenUsed/>
    <w:pPr>
      <w:ind w:left="1701" w:right="0" w:firstLine="0"/>
      <w:spacing w:after="57"/>
    </w:pPr>
  </w:style>
  <w:style w:type="paragraph" w:styleId="873">
    <w:name w:val="toc 8"/>
    <w:basedOn w:val="877"/>
    <w:next w:val="877"/>
    <w:uiPriority w:val="39"/>
    <w:unhideWhenUsed/>
    <w:pPr>
      <w:ind w:left="1984" w:right="0" w:firstLine="0"/>
      <w:spacing w:after="57"/>
    </w:pPr>
  </w:style>
  <w:style w:type="paragraph" w:styleId="874">
    <w:name w:val="toc 9"/>
    <w:basedOn w:val="877"/>
    <w:next w:val="877"/>
    <w:uiPriority w:val="39"/>
    <w:unhideWhenUsed/>
    <w:pPr>
      <w:ind w:left="2268" w:right="0" w:firstLine="0"/>
      <w:spacing w:after="57"/>
    </w:pPr>
  </w:style>
  <w:style w:type="paragraph" w:styleId="875">
    <w:name w:val="TOC Heading"/>
    <w:uiPriority w:val="39"/>
    <w:unhideWhenUsed/>
  </w:style>
  <w:style w:type="paragraph" w:styleId="876">
    <w:name w:val="table of figures"/>
    <w:basedOn w:val="877"/>
    <w:next w:val="877"/>
    <w:uiPriority w:val="99"/>
    <w:unhideWhenUsed/>
    <w:pPr>
      <w:spacing w:after="0" w:afterAutospacing="0"/>
    </w:pPr>
  </w:style>
  <w:style w:type="paragraph" w:styleId="877" w:default="1">
    <w:name w:val="Normal"/>
    <w:qFormat/>
    <w:pPr>
      <w:jc w:val="left"/>
      <w:spacing w:before="0" w:after="0"/>
      <w:widowControl/>
    </w:pPr>
    <w:rPr>
      <w:rFonts w:ascii="Times New Roman" w:hAnsi="Times New Roman" w:eastAsia="Times New Roman" w:cs="Times New Roman"/>
      <w:color w:val="auto"/>
      <w:sz w:val="20"/>
      <w:szCs w:val="20"/>
      <w:lang w:val="ru-RU" w:eastAsia="ru-RU" w:bidi="ar-SA"/>
    </w:rPr>
  </w:style>
  <w:style w:type="paragraph" w:styleId="878">
    <w:name w:val="Heading 1"/>
    <w:basedOn w:val="877"/>
    <w:next w:val="877"/>
    <w:qFormat/>
    <w:pPr>
      <w:jc w:val="center"/>
      <w:keepNext/>
      <w:outlineLvl w:val="0"/>
    </w:pPr>
    <w:rPr>
      <w:b/>
      <w:sz w:val="24"/>
    </w:rPr>
  </w:style>
  <w:style w:type="paragraph" w:styleId="879">
    <w:name w:val="Heading 2"/>
    <w:basedOn w:val="877"/>
    <w:next w:val="877"/>
    <w:qFormat/>
    <w:pPr>
      <w:ind w:left="-284" w:right="-432" w:firstLine="0"/>
      <w:jc w:val="center"/>
      <w:keepNext/>
      <w:outlineLvl w:val="1"/>
    </w:pPr>
    <w:rPr>
      <w:b/>
      <w:sz w:val="28"/>
    </w:rPr>
  </w:style>
  <w:style w:type="paragraph" w:styleId="880">
    <w:name w:val="Heading 3"/>
    <w:basedOn w:val="877"/>
    <w:next w:val="877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881">
    <w:name w:val="Heading 4"/>
    <w:basedOn w:val="877"/>
    <w:next w:val="877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styleId="882" w:default="1">
    <w:name w:val="Default Paragraph Font"/>
    <w:uiPriority w:val="1"/>
    <w:semiHidden/>
    <w:unhideWhenUsed/>
    <w:qFormat/>
  </w:style>
  <w:style w:type="character" w:styleId="883" w:customStyle="1">
    <w:name w:val="Заголовок 3 Знак"/>
    <w:qFormat/>
    <w:rPr>
      <w:rFonts w:ascii="Cambria" w:hAnsi="Cambria" w:eastAsia="Times New Roman" w:cs="Times New Roman"/>
      <w:b/>
      <w:bCs/>
      <w:sz w:val="26"/>
      <w:szCs w:val="26"/>
    </w:rPr>
  </w:style>
  <w:style w:type="character" w:styleId="884">
    <w:name w:val="page number"/>
    <w:basedOn w:val="882"/>
    <w:qFormat/>
  </w:style>
  <w:style w:type="character" w:styleId="885" w:customStyle="1">
    <w:name w:val="Нижний колонтитул Знак"/>
    <w:basedOn w:val="882"/>
    <w:qFormat/>
  </w:style>
  <w:style w:type="character" w:styleId="886" w:customStyle="1">
    <w:name w:val="Название Знак"/>
    <w:qFormat/>
    <w:rPr>
      <w:b/>
      <w:spacing w:val="8"/>
      <w:sz w:val="28"/>
    </w:rPr>
  </w:style>
  <w:style w:type="character" w:styleId="887" w:customStyle="1">
    <w:name w:val="Верхний колонтитул Знак"/>
    <w:qFormat/>
  </w:style>
  <w:style w:type="character" w:styleId="888">
    <w:name w:val="annotation reference"/>
    <w:qFormat/>
    <w:rPr>
      <w:sz w:val="16"/>
      <w:szCs w:val="16"/>
    </w:rPr>
  </w:style>
  <w:style w:type="character" w:styleId="889" w:customStyle="1">
    <w:name w:val="Текст примечания Знак"/>
    <w:basedOn w:val="882"/>
    <w:qFormat/>
  </w:style>
  <w:style w:type="character" w:styleId="890" w:customStyle="1">
    <w:name w:val="Тема примечания Знак"/>
    <w:qFormat/>
    <w:rPr>
      <w:b/>
      <w:bCs/>
    </w:rPr>
  </w:style>
  <w:style w:type="character" w:styleId="891">
    <w:name w:val="Интернет-ссылка"/>
    <w:rPr>
      <w:color w:val="000080"/>
      <w:u w:val="single"/>
    </w:rPr>
  </w:style>
  <w:style w:type="paragraph" w:styleId="892">
    <w:name w:val="Заголовок"/>
    <w:basedOn w:val="877"/>
    <w:next w:val="89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893">
    <w:name w:val="Body Text"/>
    <w:basedOn w:val="877"/>
    <w:pPr>
      <w:spacing w:before="0" w:after="140" w:line="276" w:lineRule="auto"/>
    </w:pPr>
  </w:style>
  <w:style w:type="paragraph" w:styleId="894">
    <w:name w:val="List"/>
    <w:basedOn w:val="893"/>
    <w:rPr>
      <w:rFonts w:cs="Mangal"/>
    </w:rPr>
  </w:style>
  <w:style w:type="paragraph" w:styleId="895">
    <w:name w:val="Caption"/>
    <w:basedOn w:val="877"/>
    <w:qFormat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896">
    <w:name w:val="Указатель"/>
    <w:basedOn w:val="877"/>
    <w:qFormat/>
    <w:pPr>
      <w:suppressLineNumbers/>
    </w:pPr>
    <w:rPr>
      <w:rFonts w:cs="Mangal"/>
    </w:rPr>
  </w:style>
  <w:style w:type="paragraph" w:styleId="897">
    <w:name w:val="Body Text Indent"/>
    <w:basedOn w:val="877"/>
    <w:pPr>
      <w:ind w:firstLine="851"/>
      <w:jc w:val="both"/>
    </w:pPr>
    <w:rPr>
      <w:sz w:val="24"/>
    </w:rPr>
  </w:style>
  <w:style w:type="paragraph" w:styleId="898">
    <w:name w:val="Block Text"/>
    <w:basedOn w:val="877"/>
    <w:qFormat/>
    <w:pPr>
      <w:ind w:left="426" w:right="283" w:hanging="426"/>
      <w:jc w:val="both"/>
      <w:tabs>
        <w:tab w:val="left" w:pos="360" w:leader="none"/>
        <w:tab w:val="clear" w:pos="720" w:leader="none"/>
      </w:tabs>
    </w:pPr>
    <w:rPr>
      <w:sz w:val="28"/>
    </w:rPr>
  </w:style>
  <w:style w:type="paragraph" w:styleId="899">
    <w:name w:val="Body Text Indent 2"/>
    <w:basedOn w:val="877"/>
    <w:qFormat/>
    <w:pPr>
      <w:ind w:firstLine="720"/>
      <w:jc w:val="both"/>
    </w:pPr>
    <w:rPr>
      <w:sz w:val="28"/>
    </w:rPr>
  </w:style>
  <w:style w:type="paragraph" w:styleId="900">
    <w:name w:val="Balloon Text"/>
    <w:basedOn w:val="877"/>
    <w:qFormat/>
    <w:rPr>
      <w:rFonts w:ascii="Tahoma" w:hAnsi="Tahoma" w:cs="Tahoma"/>
      <w:sz w:val="16"/>
      <w:szCs w:val="16"/>
    </w:rPr>
  </w:style>
  <w:style w:type="paragraph" w:styleId="901">
    <w:name w:val="Верхний и нижний колонтитулы"/>
    <w:basedOn w:val="877"/>
    <w:qFormat/>
  </w:style>
  <w:style w:type="paragraph" w:styleId="902">
    <w:name w:val="Header"/>
    <w:basedOn w:val="877"/>
    <w:pPr>
      <w:tabs>
        <w:tab w:val="clear" w:pos="720" w:leader="none"/>
        <w:tab w:val="center" w:pos="4677" w:leader="none"/>
        <w:tab w:val="right" w:pos="9355" w:leader="none"/>
      </w:tabs>
    </w:pPr>
  </w:style>
  <w:style w:type="paragraph" w:styleId="903" w:customStyle="1">
    <w:name w:val="E"/>
    <w:basedOn w:val="877"/>
    <w:qFormat/>
    <w:pPr>
      <w:spacing w:before="0" w:after="160" w:line="240" w:lineRule="exact"/>
    </w:pPr>
    <w:rPr>
      <w:rFonts w:ascii="Verdana" w:hAnsi="Verdana"/>
      <w:lang w:val="en-US" w:eastAsia="en-US"/>
    </w:rPr>
  </w:style>
  <w:style w:type="paragraph" w:styleId="904" w:customStyle="1">
    <w:name w:val="Знак"/>
    <w:basedOn w:val="877"/>
    <w:qFormat/>
    <w:pPr>
      <w:spacing w:before="0" w:after="160" w:line="240" w:lineRule="exact"/>
    </w:pPr>
    <w:rPr>
      <w:rFonts w:ascii="Verdana" w:hAnsi="Verdana"/>
      <w:lang w:val="en-US" w:eastAsia="en-US"/>
    </w:rPr>
  </w:style>
  <w:style w:type="paragraph" w:styleId="905">
    <w:name w:val="Body Text Indent 3"/>
    <w:basedOn w:val="877"/>
    <w:qFormat/>
    <w:pPr>
      <w:ind w:left="283" w:firstLine="0"/>
      <w:spacing w:before="0" w:after="120"/>
    </w:pPr>
    <w:rPr>
      <w:sz w:val="16"/>
      <w:szCs w:val="16"/>
    </w:rPr>
  </w:style>
  <w:style w:type="paragraph" w:styleId="906" w:customStyle="1">
    <w:name w:val="ConsPlusNormal"/>
    <w:qFormat/>
    <w:pPr>
      <w:ind w:firstLine="720"/>
      <w:jc w:val="left"/>
      <w:spacing w:before="0" w:after="0"/>
      <w:widowControl w:val="off"/>
    </w:pPr>
    <w:rPr>
      <w:rFonts w:ascii="Arial" w:hAnsi="Arial" w:eastAsia="Times New Roman" w:cs="Arial"/>
      <w:color w:val="auto"/>
      <w:sz w:val="20"/>
      <w:szCs w:val="20"/>
      <w:lang w:val="ru-RU" w:eastAsia="ru-RU" w:bidi="ar-SA"/>
    </w:rPr>
  </w:style>
  <w:style w:type="paragraph" w:styleId="907" w:customStyle="1">
    <w:name w:val="Знак Знак Знак Знак"/>
    <w:basedOn w:val="877"/>
    <w:qFormat/>
    <w:pPr>
      <w:spacing w:before="0" w:after="160" w:line="240" w:lineRule="exact"/>
    </w:pPr>
    <w:rPr>
      <w:rFonts w:ascii="Verdana" w:hAnsi="Verdana"/>
      <w:lang w:val="en-US" w:eastAsia="en-US"/>
    </w:rPr>
  </w:style>
  <w:style w:type="paragraph" w:styleId="908">
    <w:name w:val="List Paragraph"/>
    <w:basedOn w:val="877"/>
    <w:qFormat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909">
    <w:name w:val="Footer"/>
    <w:basedOn w:val="877"/>
    <w:pPr>
      <w:tabs>
        <w:tab w:val="clear" w:pos="720" w:leader="none"/>
        <w:tab w:val="center" w:pos="4677" w:leader="none"/>
        <w:tab w:val="right" w:pos="9355" w:leader="none"/>
      </w:tabs>
    </w:pPr>
  </w:style>
  <w:style w:type="paragraph" w:styleId="910">
    <w:name w:val="Title"/>
    <w:basedOn w:val="877"/>
    <w:qFormat/>
    <w:pPr>
      <w:jc w:val="center"/>
    </w:pPr>
    <w:rPr>
      <w:b/>
      <w:spacing w:val="8"/>
      <w:sz w:val="28"/>
    </w:rPr>
  </w:style>
  <w:style w:type="paragraph" w:styleId="911" w:customStyle="1">
    <w:name w:val="ConsTitle"/>
    <w:qFormat/>
    <w:pPr>
      <w:ind w:right="19772" w:firstLine="0"/>
      <w:jc w:val="left"/>
      <w:spacing w:before="0" w:after="0"/>
      <w:widowControl w:val="off"/>
    </w:pPr>
    <w:rPr>
      <w:rFonts w:ascii="Arial" w:hAnsi="Arial" w:eastAsia="Times New Roman" w:cs="Arial"/>
      <w:b/>
      <w:bCs/>
      <w:color w:val="auto"/>
      <w:sz w:val="20"/>
      <w:szCs w:val="20"/>
      <w:lang w:val="ru-RU" w:eastAsia="ru-RU" w:bidi="ar-SA"/>
    </w:rPr>
  </w:style>
  <w:style w:type="paragraph" w:styleId="912" w:customStyle="1">
    <w:name w:val="Default"/>
    <w:qFormat/>
    <w:pPr>
      <w:jc w:val="left"/>
      <w:spacing w:before="0" w:after="0"/>
      <w:widowControl/>
    </w:pPr>
    <w:rPr>
      <w:rFonts w:ascii="Calibri" w:hAnsi="Calibri" w:eastAsia="Times New Roman" w:cs="Calibri"/>
      <w:color w:val="000000"/>
      <w:sz w:val="24"/>
      <w:szCs w:val="24"/>
      <w:lang w:val="ru-RU" w:eastAsia="ru-RU" w:bidi="ar-SA"/>
    </w:rPr>
  </w:style>
  <w:style w:type="paragraph" w:styleId="913" w:customStyle="1">
    <w:name w:val="Документ 1"/>
    <w:basedOn w:val="877"/>
    <w:qFormat/>
    <w:pPr>
      <w:ind w:firstLine="709"/>
      <w:jc w:val="both"/>
    </w:pPr>
    <w:rPr>
      <w:b/>
      <w:bCs/>
    </w:rPr>
  </w:style>
  <w:style w:type="paragraph" w:styleId="914">
    <w:name w:val="annotation text"/>
    <w:basedOn w:val="877"/>
    <w:qFormat/>
  </w:style>
  <w:style w:type="paragraph" w:styleId="915">
    <w:name w:val="annotation subject"/>
    <w:basedOn w:val="914"/>
    <w:next w:val="914"/>
    <w:qFormat/>
    <w:rPr>
      <w:b/>
      <w:bCs/>
    </w:rPr>
  </w:style>
  <w:style w:type="paragraph" w:styleId="916" w:customStyle="1">
    <w:name w:val="Обычный (Интернет)"/>
    <w:basedOn w:val="877"/>
    <w:qFormat/>
    <w:rPr>
      <w:sz w:val="24"/>
      <w:szCs w:val="24"/>
    </w:rPr>
  </w:style>
  <w:style w:type="paragraph" w:styleId="917" w:customStyle="1">
    <w:name w:val="ConsPlusNonformat"/>
    <w:qFormat/>
    <w:pPr>
      <w:jc w:val="left"/>
      <w:spacing w:before="0" w:after="0"/>
      <w:widowControl w:val="off"/>
    </w:pPr>
    <w:rPr>
      <w:rFonts w:ascii="Courier New" w:hAnsi="Courier New" w:eastAsia="Times New Roman" w:cs="Courier New"/>
      <w:color w:val="auto"/>
      <w:sz w:val="20"/>
      <w:szCs w:val="20"/>
      <w:lang w:val="ru-RU" w:eastAsia="ru-RU" w:bidi="ar-SA"/>
    </w:rPr>
  </w:style>
  <w:style w:type="numbering" w:styleId="918" w:default="1">
    <w:name w:val="No List"/>
    <w:uiPriority w:val="99"/>
    <w:semiHidden/>
    <w:unhideWhenUsed/>
    <w:qFormat/>
  </w:style>
  <w:style w:type="table" w:styleId="919" w:default="1">
    <w:name w:val="Normal Table"/>
    <w:uiPriority w:val="99"/>
    <w:semiHidden/>
    <w:unhideWhenUsed/>
    <w:tblPr>
      <w:tblCellMar>
        <w:left w:w="108" w:type="dxa"/>
        <w:top w:w="0" w:type="dxa"/>
        <w:right w:w="108" w:type="dxa"/>
        <w:bottom w:w="0" w:type="dxa"/>
      </w:tblCellMar>
    </w:tblPr>
  </w:style>
  <w:style w:type="paragraph" w:styleId="920" w:customStyle="1">
    <w:name w:val="Абзац списка"/>
    <w:uiPriority w:val="34"/>
    <w:qFormat/>
    <w:pPr>
      <w:contextualSpacing w:val="0"/>
      <w:ind w:left="708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21" w:customStyle="1">
    <w:name w:val="ConsPlusTitle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Times New Roman" w:cs="Calibri"/>
      <w:b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character" w:styleId="922" w:customStyle="1">
    <w:name w:val="Основной шрифт абзаца1"/>
  </w:style>
  <w:style w:type="paragraph" w:styleId="923" w:customStyle="1">
    <w:name w:val="Обычный1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200" w:afterAutospacing="0" w:line="276" w:lineRule="auto"/>
      <w:shd w:val="clear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2"/>
      <w:szCs w:val="20"/>
      <w:highlight w:val="none"/>
      <w:u w:val="none"/>
      <w:vertAlign w:val="baseline"/>
      <w:rtl w:val="0"/>
      <w:cs w:val="0"/>
      <w:lang w:val="en-US" w:eastAsia="zh-CN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наложении дисциплинарного взыскания</dc:title>
  <dc:subject/>
  <dc:creator>Бетев</dc:creator>
  <dc:description/>
  <dc:language>ru-RU</dc:language>
  <cp:revision>31</cp:revision>
  <dcterms:created xsi:type="dcterms:W3CDTF">2021-09-08T12:37:00Z</dcterms:created>
  <dcterms:modified xsi:type="dcterms:W3CDTF">2025-05-07T08:02:01Z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