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0D78F">
      <w:pPr>
        <w:tabs>
          <w:tab w:val="left" w:pos="4962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-156845</wp:posOffset>
                </wp:positionV>
                <wp:extent cx="6035040" cy="2298065"/>
                <wp:effectExtent l="0" t="0" r="381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22979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8734ED">
                            <w:pPr>
                              <w:pStyle w:val="2"/>
                              <w:spacing w:line="240" w:lineRule="auto"/>
                              <w:rPr>
                                <w:b w:val="0"/>
                                <w:sz w:val="22"/>
                              </w:rPr>
                            </w:pPr>
                          </w:p>
                          <w:p w14:paraId="6D27F382">
                            <w:pPr>
                              <w:pStyle w:val="2"/>
                              <w:spacing w:line="240" w:lineRule="auto"/>
                              <w:rPr>
                                <w:b w:val="0"/>
                                <w:sz w:val="22"/>
                              </w:rPr>
                            </w:pPr>
                          </w:p>
                          <w:p w14:paraId="3CBADE3D">
                            <w:pPr>
                              <w:pStyle w:val="2"/>
                              <w:spacing w:line="240" w:lineRule="auto"/>
                              <w:rPr>
                                <w:b w:val="0"/>
                                <w:sz w:val="22"/>
                              </w:rPr>
                            </w:pPr>
                          </w:p>
                          <w:p w14:paraId="429D05C8">
                            <w:pPr>
                              <w:pStyle w:val="2"/>
                              <w:spacing w:line="240" w:lineRule="auto"/>
                              <w:rPr>
                                <w:b w:val="0"/>
                                <w:sz w:val="22"/>
                              </w:rPr>
                            </w:pPr>
                            <w:r>
                              <w:rPr>
                                <w:b w:val="0"/>
                                <w:sz w:val="22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14:paraId="63A8B0E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государственное автономное учреждение социального обслуживания Свердловской области</w:t>
                            </w:r>
                          </w:p>
                          <w:p w14:paraId="4D9B083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4015BC8">
                            <w:pPr>
                              <w:pStyle w:val="2"/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НОВОУРАЛЬСКИЙ КОМПЛЕКСНЫЙ ЦЕНТР</w:t>
                            </w:r>
                          </w:p>
                          <w:p w14:paraId="323FB620">
                            <w:pPr>
                              <w:pStyle w:val="2"/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СОЦИАЛЬНОГО ОБСЛУЖИВАНИЯ НАСЕЛЕНИЯ</w:t>
                            </w:r>
                          </w:p>
                          <w:p w14:paraId="19D6099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(ГАУСО СО «Новоуральский КЦСОН»)</w:t>
                            </w:r>
                          </w:p>
                          <w:p w14:paraId="2FC26974">
                            <w:pPr>
                              <w:pStyle w:val="3"/>
                              <w:ind w:left="0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П Р И К А З</w:t>
                            </w:r>
                          </w:p>
                          <w:p w14:paraId="2BB7AFE4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</w:p>
                          <w:p w14:paraId="67968451">
                            <w:pPr>
                              <w:ind w:firstLine="600" w:firstLineChars="250"/>
                              <w:jc w:val="left"/>
                              <w:rPr>
                                <w:rFonts w:hint="default"/>
                                <w:sz w:val="16"/>
                                <w:lang w:val="ru-RU"/>
                              </w:rPr>
                            </w:pPr>
                            <w:r>
                              <w:rPr>
                                <w:rFonts w:hint="default"/>
                                <w:sz w:val="24"/>
                                <w:szCs w:val="24"/>
                                <w:lang w:val="ru-RU"/>
                              </w:rPr>
                              <w:t xml:space="preserve">                                                                                                   </w:t>
                            </w:r>
                          </w:p>
                          <w:p w14:paraId="06C1D2BC">
                            <w:pPr>
                              <w:ind w:left="142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  <w:r>
                              <w:rPr>
                                <w:sz w:val="24"/>
                              </w:rPr>
                              <w:t>№_____________</w:t>
                            </w:r>
                          </w:p>
                          <w:p w14:paraId="75D7B63D">
                            <w:pPr>
                              <w:ind w:left="142"/>
                              <w:jc w:val="both"/>
                            </w:pPr>
                          </w:p>
                          <w:p w14:paraId="01B293A5">
                            <w:pPr>
                              <w:jc w:val="both"/>
                            </w:pPr>
                          </w:p>
                          <w:p w14:paraId="419D56AA">
                            <w:pPr>
                              <w:jc w:val="both"/>
                            </w:pPr>
                          </w:p>
                          <w:p w14:paraId="75F8CBC8">
                            <w:pPr>
                              <w:jc w:val="both"/>
                            </w:pPr>
                          </w:p>
                          <w:p w14:paraId="0D30AB1F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6" o:spt="202" type="#_x0000_t202" style="position:absolute;left:0pt;margin-left:-5.5pt;margin-top:-12.35pt;height:180.95pt;width:475.2pt;z-index:251659264;mso-width-relative:page;mso-height-relative:page;" fillcolor="#FFFFFF" filled="t" stroked="f" coordsize="21600,21600" o:gfxdata="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wyvKj2QAAAAsBAAAPAAAAAAAAAAEAIAAAACIAAABkcnMvZG93bnJldi54bWxQSwECFAAUAAAA&#10;CACHTuJAJib83CYCAAA+BAAADgAAAAAAAAABACAAAAAoAQAAZHJzL2Uyb0RvYy54bWxQSwUGAAAA&#10;AAYABgBZAQAAw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58734ED">
                      <w:pPr>
                        <w:pStyle w:val="2"/>
                        <w:spacing w:line="240" w:lineRule="auto"/>
                        <w:rPr>
                          <w:b w:val="0"/>
                          <w:sz w:val="22"/>
                        </w:rPr>
                      </w:pPr>
                    </w:p>
                    <w:p w14:paraId="6D27F382">
                      <w:pPr>
                        <w:pStyle w:val="2"/>
                        <w:spacing w:line="240" w:lineRule="auto"/>
                        <w:rPr>
                          <w:b w:val="0"/>
                          <w:sz w:val="22"/>
                        </w:rPr>
                      </w:pPr>
                    </w:p>
                    <w:p w14:paraId="3CBADE3D">
                      <w:pPr>
                        <w:pStyle w:val="2"/>
                        <w:spacing w:line="240" w:lineRule="auto"/>
                        <w:rPr>
                          <w:b w:val="0"/>
                          <w:sz w:val="22"/>
                        </w:rPr>
                      </w:pPr>
                    </w:p>
                    <w:p w14:paraId="429D05C8">
                      <w:pPr>
                        <w:pStyle w:val="2"/>
                        <w:spacing w:line="240" w:lineRule="auto"/>
                        <w:rPr>
                          <w:b w:val="0"/>
                          <w:sz w:val="22"/>
                        </w:rPr>
                      </w:pPr>
                      <w:r>
                        <w:rPr>
                          <w:b w:val="0"/>
                          <w:sz w:val="22"/>
                        </w:rPr>
                        <w:t>Министерство социальной политики Свердловской области</w:t>
                      </w:r>
                    </w:p>
                    <w:p w14:paraId="63A8B0EF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государственное автономное учреждение социального обслуживания Свердловской области</w:t>
                      </w:r>
                    </w:p>
                    <w:p w14:paraId="4D9B083A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4015BC8">
                      <w:pPr>
                        <w:pStyle w:val="2"/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НОВОУРАЛЬСКИЙ КОМПЛЕКСНЫЙ ЦЕНТР</w:t>
                      </w:r>
                    </w:p>
                    <w:p w14:paraId="323FB620">
                      <w:pPr>
                        <w:pStyle w:val="2"/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СОЦИАЛЬНОГО ОБСЛУЖИВАНИЯ НАСЕЛЕНИЯ</w:t>
                      </w:r>
                    </w:p>
                    <w:p w14:paraId="19D6099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(ГАУСО СО «Новоуральский КЦСОН»)</w:t>
                      </w:r>
                    </w:p>
                    <w:p w14:paraId="2FC26974">
                      <w:pPr>
                        <w:pStyle w:val="3"/>
                        <w:ind w:left="0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П Р И К А З</w:t>
                      </w:r>
                    </w:p>
                    <w:p w14:paraId="2BB7AFE4">
                      <w:pPr>
                        <w:jc w:val="both"/>
                        <w:rPr>
                          <w:sz w:val="16"/>
                        </w:rPr>
                      </w:pPr>
                    </w:p>
                    <w:p w14:paraId="67968451">
                      <w:pPr>
                        <w:ind w:firstLine="600" w:firstLineChars="250"/>
                        <w:jc w:val="left"/>
                        <w:rPr>
                          <w:rFonts w:hint="default"/>
                          <w:sz w:val="16"/>
                          <w:lang w:val="ru-RU"/>
                        </w:rPr>
                      </w:pPr>
                      <w:r>
                        <w:rPr>
                          <w:rFonts w:hint="default"/>
                          <w:sz w:val="24"/>
                          <w:szCs w:val="24"/>
                          <w:lang w:val="ru-RU"/>
                        </w:rPr>
                        <w:t xml:space="preserve">                                                                                                   </w:t>
                      </w:r>
                    </w:p>
                    <w:p w14:paraId="06C1D2BC">
                      <w:pPr>
                        <w:ind w:left="142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  <w:r>
                        <w:rPr>
                          <w:sz w:val="24"/>
                        </w:rPr>
                        <w:t>№_____________</w:t>
                      </w:r>
                    </w:p>
                    <w:p w14:paraId="75D7B63D">
                      <w:pPr>
                        <w:ind w:left="142"/>
                        <w:jc w:val="both"/>
                      </w:pPr>
                    </w:p>
                    <w:p w14:paraId="01B293A5">
                      <w:pPr>
                        <w:jc w:val="both"/>
                      </w:pPr>
                    </w:p>
                    <w:p w14:paraId="419D56AA">
                      <w:pPr>
                        <w:jc w:val="both"/>
                      </w:pPr>
                    </w:p>
                    <w:p w14:paraId="75F8CBC8">
                      <w:pPr>
                        <w:jc w:val="both"/>
                      </w:pPr>
                    </w:p>
                    <w:p w14:paraId="0D30AB1F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07AD1C43">
      <w:pPr>
        <w:rPr>
          <w:sz w:val="28"/>
          <w:szCs w:val="28"/>
        </w:rPr>
      </w:pPr>
    </w:p>
    <w:p w14:paraId="1148FA05">
      <w:pPr>
        <w:rPr>
          <w:sz w:val="28"/>
          <w:szCs w:val="28"/>
        </w:rPr>
      </w:pPr>
    </w:p>
    <w:p w14:paraId="34225320">
      <w:pPr>
        <w:rPr>
          <w:sz w:val="28"/>
          <w:szCs w:val="28"/>
        </w:rPr>
      </w:pPr>
    </w:p>
    <w:p w14:paraId="30CAE8C5">
      <w:pPr>
        <w:rPr>
          <w:sz w:val="28"/>
          <w:szCs w:val="28"/>
        </w:rPr>
      </w:pPr>
    </w:p>
    <w:p w14:paraId="1311A61A">
      <w:pPr>
        <w:rPr>
          <w:sz w:val="28"/>
          <w:szCs w:val="28"/>
        </w:rPr>
      </w:pPr>
    </w:p>
    <w:p w14:paraId="66EC0EF6">
      <w:pPr>
        <w:rPr>
          <w:sz w:val="28"/>
          <w:szCs w:val="28"/>
        </w:rPr>
      </w:pPr>
    </w:p>
    <w:p w14:paraId="58644454">
      <w:pPr>
        <w:rPr>
          <w:sz w:val="28"/>
          <w:szCs w:val="28"/>
        </w:rPr>
      </w:pPr>
    </w:p>
    <w:p w14:paraId="3FB3C67B">
      <w:pPr>
        <w:rPr>
          <w:sz w:val="28"/>
          <w:szCs w:val="28"/>
        </w:rPr>
      </w:pPr>
      <w:bookmarkStart w:id="0" w:name="_GoBack"/>
      <w:bookmarkEnd w:id="0"/>
    </w:p>
    <w:p w14:paraId="083727DB">
      <w:pPr>
        <w:rPr>
          <w:sz w:val="28"/>
          <w:szCs w:val="28"/>
        </w:rPr>
      </w:pPr>
    </w:p>
    <w:p w14:paraId="1263701F">
      <w:pPr>
        <w:rPr>
          <w:sz w:val="26"/>
          <w:szCs w:val="26"/>
        </w:rPr>
      </w:pPr>
    </w:p>
    <w:p w14:paraId="316A341D">
      <w:pPr>
        <w:rPr>
          <w:sz w:val="26"/>
          <w:szCs w:val="26"/>
        </w:rPr>
      </w:pPr>
      <w:r>
        <w:rPr>
          <w:sz w:val="26"/>
          <w:szCs w:val="26"/>
        </w:rPr>
        <w:t>Об утверждении Плана мероприятий</w:t>
      </w:r>
    </w:p>
    <w:p w14:paraId="03A99817">
      <w:pPr>
        <w:rPr>
          <w:sz w:val="26"/>
          <w:szCs w:val="26"/>
        </w:rPr>
      </w:pPr>
      <w:r>
        <w:rPr>
          <w:bCs/>
          <w:sz w:val="26"/>
          <w:szCs w:val="26"/>
        </w:rPr>
        <w:t>ГАУСО СО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«Новоуральский КЦСОН» </w:t>
      </w:r>
    </w:p>
    <w:p w14:paraId="3EB5AB40">
      <w:pPr>
        <w:rPr>
          <w:sz w:val="26"/>
          <w:szCs w:val="26"/>
        </w:rPr>
      </w:pPr>
      <w:r>
        <w:rPr>
          <w:bCs/>
          <w:sz w:val="26"/>
          <w:szCs w:val="26"/>
        </w:rPr>
        <w:t xml:space="preserve">по </w:t>
      </w:r>
      <w:r>
        <w:rPr>
          <w:sz w:val="26"/>
          <w:szCs w:val="26"/>
        </w:rPr>
        <w:t xml:space="preserve">противодействию коррупции </w:t>
      </w:r>
    </w:p>
    <w:p w14:paraId="61E924C7">
      <w:pPr>
        <w:rPr>
          <w:sz w:val="26"/>
          <w:szCs w:val="26"/>
        </w:rPr>
      </w:pPr>
      <w:r>
        <w:rPr>
          <w:sz w:val="26"/>
          <w:szCs w:val="26"/>
        </w:rPr>
        <w:t>на 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>-202</w:t>
      </w:r>
      <w:r>
        <w:rPr>
          <w:rFonts w:hint="default"/>
          <w:sz w:val="26"/>
          <w:szCs w:val="26"/>
          <w:lang w:val="ru-RU"/>
        </w:rPr>
        <w:t>8</w:t>
      </w:r>
      <w:r>
        <w:rPr>
          <w:sz w:val="26"/>
          <w:szCs w:val="26"/>
        </w:rPr>
        <w:t xml:space="preserve"> гг.</w:t>
      </w:r>
    </w:p>
    <w:p w14:paraId="70F20674">
      <w:pPr>
        <w:rPr>
          <w:sz w:val="26"/>
          <w:szCs w:val="26"/>
        </w:rPr>
      </w:pPr>
    </w:p>
    <w:p w14:paraId="1C5BC40F">
      <w:pPr>
        <w:ind w:firstLine="708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 xml:space="preserve">В целях реализации Федерального закона от 25.12.2008 г. № 273-ФЗ 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«О противодействии коррупции», Закона Свердловской области от 20.02.2009 г. №2-ОЗ «О противодействии коррупции в Свердловской области»,  а также на основании плана мер по минимизации коррупционных рисков в ГАУСО СО «Новоуральский КЦСОН», утвержденного приказом ГАУСО СО «Новоуральский КЦСОН» </w:t>
      </w:r>
      <w:r>
        <w:rPr>
          <w:sz w:val="26"/>
          <w:szCs w:val="26"/>
          <w:highlight w:val="none"/>
        </w:rPr>
        <w:t>№1</w:t>
      </w:r>
      <w:r>
        <w:rPr>
          <w:rFonts w:hint="default"/>
          <w:sz w:val="26"/>
          <w:szCs w:val="26"/>
          <w:highlight w:val="none"/>
          <w:lang w:val="ru-RU"/>
        </w:rPr>
        <w:t>3</w:t>
      </w:r>
      <w:r>
        <w:rPr>
          <w:sz w:val="26"/>
          <w:szCs w:val="26"/>
          <w:highlight w:val="none"/>
        </w:rPr>
        <w:t xml:space="preserve"> от 13.03.2024</w:t>
      </w:r>
      <w:r>
        <w:rPr>
          <w:rFonts w:hint="default"/>
          <w:sz w:val="26"/>
          <w:szCs w:val="26"/>
          <w:highlight w:val="none"/>
          <w:lang w:val="ru-RU"/>
        </w:rPr>
        <w:t>.</w:t>
      </w:r>
      <w:r>
        <w:rPr>
          <w:sz w:val="26"/>
          <w:szCs w:val="26"/>
          <w:highlight w:val="none"/>
        </w:rPr>
        <w:t xml:space="preserve"> </w:t>
      </w:r>
    </w:p>
    <w:p w14:paraId="7A1BA9C9">
      <w:pPr>
        <w:rPr>
          <w:sz w:val="26"/>
          <w:szCs w:val="26"/>
        </w:rPr>
      </w:pPr>
    </w:p>
    <w:p w14:paraId="0EFDB25E">
      <w:pPr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</w:p>
    <w:p w14:paraId="1B1239A3">
      <w:pPr>
        <w:jc w:val="both"/>
        <w:rPr>
          <w:sz w:val="26"/>
          <w:szCs w:val="26"/>
        </w:rPr>
      </w:pPr>
    </w:p>
    <w:p w14:paraId="3A495C0D">
      <w:pPr>
        <w:ind w:firstLine="708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1.Утвердить «План мероприятий ГАУСО СО «Новоуральский КЦСОН» по противодействию коррупции на 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>–202</w:t>
      </w:r>
      <w:r>
        <w:rPr>
          <w:rFonts w:hint="default"/>
          <w:sz w:val="26"/>
          <w:szCs w:val="26"/>
          <w:lang w:val="ru-RU"/>
        </w:rPr>
        <w:t>8</w:t>
      </w:r>
      <w:r>
        <w:rPr>
          <w:sz w:val="26"/>
          <w:szCs w:val="26"/>
        </w:rPr>
        <w:t xml:space="preserve"> гг.» (Приложение  1).</w:t>
      </w:r>
      <w:r>
        <w:rPr>
          <w:b/>
          <w:bCs/>
          <w:sz w:val="26"/>
          <w:szCs w:val="26"/>
        </w:rPr>
        <w:t xml:space="preserve"> </w:t>
      </w:r>
    </w:p>
    <w:p w14:paraId="0B12FB7E">
      <w:pPr>
        <w:ind w:firstLine="708"/>
        <w:jc w:val="both"/>
        <w:rPr>
          <w:sz w:val="26"/>
          <w:szCs w:val="26"/>
          <w:lang w:bidi="ru-RU"/>
        </w:rPr>
      </w:pPr>
      <w:r>
        <w:rPr>
          <w:sz w:val="26"/>
          <w:szCs w:val="26"/>
        </w:rPr>
        <w:t xml:space="preserve">2. </w:t>
      </w:r>
      <w:r>
        <w:rPr>
          <w:sz w:val="26"/>
          <w:szCs w:val="26"/>
          <w:lang w:bidi="ru-RU"/>
        </w:rPr>
        <w:t xml:space="preserve">Специалисту по социальной работе консультативного отделения разместить настоящий приказ на официальном сайте в информационно - телекоммуникационной сети «Интернет» </w:t>
      </w:r>
      <w:r>
        <w:rPr>
          <w:sz w:val="26"/>
          <w:szCs w:val="26"/>
        </w:rPr>
        <w:t xml:space="preserve">(zabota071.msp.midural.ru) </w:t>
      </w:r>
      <w:r>
        <w:rPr>
          <w:sz w:val="26"/>
          <w:szCs w:val="26"/>
          <w:lang w:bidi="ru-RU"/>
        </w:rPr>
        <w:t>в разделе «Противодействие коррупции».</w:t>
      </w:r>
    </w:p>
    <w:p w14:paraId="4765E794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 3. План мероприятий по противодействию коррупции в ГАУСО СО «Новоуральский КЦСОН» на 202</w:t>
      </w:r>
      <w:r>
        <w:rPr>
          <w:rFonts w:hint="default"/>
          <w:sz w:val="26"/>
          <w:szCs w:val="26"/>
          <w:lang w:val="ru-RU"/>
        </w:rPr>
        <w:t>1</w:t>
      </w:r>
      <w:r>
        <w:rPr>
          <w:sz w:val="26"/>
          <w:szCs w:val="26"/>
        </w:rPr>
        <w:t>-202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 xml:space="preserve"> годы, утвержденный приказом ГАУСО СО «Новоуральский КЦСОН»</w:t>
      </w:r>
      <w:r>
        <w:rPr>
          <w:sz w:val="26"/>
          <w:szCs w:val="26"/>
          <w:highlight w:val="none"/>
        </w:rPr>
        <w:t xml:space="preserve"> №</w:t>
      </w:r>
      <w:r>
        <w:rPr>
          <w:rFonts w:hint="default"/>
          <w:sz w:val="26"/>
          <w:szCs w:val="26"/>
          <w:highlight w:val="none"/>
          <w:lang w:val="ru-RU"/>
        </w:rPr>
        <w:t>14</w:t>
      </w:r>
      <w:r>
        <w:rPr>
          <w:sz w:val="26"/>
          <w:szCs w:val="26"/>
          <w:highlight w:val="none"/>
        </w:rPr>
        <w:t xml:space="preserve"> от </w:t>
      </w:r>
      <w:r>
        <w:rPr>
          <w:rFonts w:hint="default"/>
          <w:sz w:val="26"/>
          <w:szCs w:val="26"/>
          <w:highlight w:val="none"/>
          <w:lang w:val="ru-RU"/>
        </w:rPr>
        <w:t>13.03.2024</w:t>
      </w:r>
      <w:r>
        <w:rPr>
          <w:sz w:val="26"/>
          <w:szCs w:val="26"/>
          <w:highlight w:val="none"/>
        </w:rPr>
        <w:t xml:space="preserve"> </w:t>
      </w:r>
      <w:r>
        <w:rPr>
          <w:sz w:val="26"/>
          <w:szCs w:val="26"/>
        </w:rPr>
        <w:t>считать утратившим силу с момента подписания настоящего приказа.</w:t>
      </w:r>
    </w:p>
    <w:p w14:paraId="08CE0CAC">
      <w:pPr>
        <w:ind w:firstLine="708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4. Секретарю-машинистке ознакомить с настоящим приказом под подпись работников, на которых распространяется его действие.</w:t>
      </w:r>
    </w:p>
    <w:p w14:paraId="3118F979">
      <w:pPr>
        <w:rPr>
          <w:sz w:val="26"/>
          <w:szCs w:val="26"/>
        </w:rPr>
      </w:pPr>
      <w:r>
        <w:rPr>
          <w:sz w:val="26"/>
          <w:szCs w:val="26"/>
        </w:rPr>
        <w:t xml:space="preserve">          5. Контроль за исполнением приказа оставляю за собой. </w:t>
      </w:r>
    </w:p>
    <w:p w14:paraId="1A0F89AB">
      <w:pPr>
        <w:rPr>
          <w:sz w:val="26"/>
          <w:szCs w:val="26"/>
        </w:rPr>
      </w:pPr>
    </w:p>
    <w:p w14:paraId="024909D0">
      <w:pPr>
        <w:rPr>
          <w:sz w:val="26"/>
          <w:szCs w:val="26"/>
        </w:rPr>
      </w:pPr>
    </w:p>
    <w:p w14:paraId="0139601A">
      <w:pPr>
        <w:rPr>
          <w:sz w:val="26"/>
          <w:szCs w:val="26"/>
        </w:rPr>
      </w:pPr>
    </w:p>
    <w:p w14:paraId="190CED48">
      <w:pPr>
        <w:jc w:val="both"/>
        <w:rPr>
          <w:sz w:val="26"/>
          <w:szCs w:val="26"/>
        </w:rPr>
      </w:pPr>
    </w:p>
    <w:p w14:paraId="7F60304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Директор                                                                                     Л.Г. Еремина </w:t>
      </w:r>
    </w:p>
    <w:p w14:paraId="1C9AF7C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4D8AB26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14:paraId="7CA456D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Юрисконсульт</w:t>
      </w:r>
    </w:p>
    <w:p w14:paraId="54A514C1">
      <w:pPr>
        <w:widowControl w:val="0"/>
        <w:autoSpaceDE w:val="0"/>
        <w:autoSpaceDN w:val="0"/>
        <w:adjustRightInd w:val="0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______________ </w:t>
      </w:r>
      <w:r>
        <w:rPr>
          <w:sz w:val="24"/>
          <w:szCs w:val="24"/>
          <w:lang w:val="ru-RU"/>
        </w:rPr>
        <w:t>Е</w:t>
      </w:r>
      <w:r>
        <w:rPr>
          <w:rFonts w:hint="default"/>
          <w:sz w:val="24"/>
          <w:szCs w:val="24"/>
          <w:lang w:val="ru-RU"/>
        </w:rPr>
        <w:t>.В.Кулешева</w:t>
      </w:r>
    </w:p>
    <w:p w14:paraId="7B70C121">
      <w:pPr>
        <w:widowControl w:val="0"/>
        <w:autoSpaceDE w:val="0"/>
        <w:autoSpaceDN w:val="0"/>
        <w:adjustRightInd w:val="0"/>
        <w:jc w:val="both"/>
      </w:pPr>
    </w:p>
    <w:p w14:paraId="533F7A6E">
      <w:pPr>
        <w:rPr>
          <w:rFonts w:hint="default"/>
          <w:lang w:val="ru-RU"/>
        </w:rPr>
      </w:pPr>
      <w:r>
        <w:rPr>
          <w:lang w:val="ru-RU"/>
        </w:rPr>
        <w:t>О</w:t>
      </w:r>
      <w:r>
        <w:rPr>
          <w:rFonts w:hint="default"/>
          <w:lang w:val="ru-RU"/>
        </w:rPr>
        <w:t>.Г.Морозова</w:t>
      </w:r>
    </w:p>
    <w:p w14:paraId="0DA96DC0">
      <w:pPr>
        <w:rPr>
          <w:sz w:val="26"/>
          <w:szCs w:val="26"/>
        </w:rPr>
      </w:pPr>
      <w:r>
        <w:rPr>
          <w:highlight w:val="none"/>
        </w:rPr>
        <w:t xml:space="preserve">ке 2 </w:t>
      </w:r>
      <w:r>
        <w:rPr>
          <w:rFonts w:hint="default"/>
          <w:highlight w:val="none"/>
          <w:lang w:val="ru-RU"/>
        </w:rPr>
        <w:t>28.01.2025</w:t>
      </w:r>
      <w:r>
        <w:rPr>
          <w:highlight w:val="none"/>
        </w:rPr>
        <w:tab/>
      </w:r>
      <w:r>
        <w:rPr>
          <w:sz w:val="24"/>
          <w:szCs w:val="24"/>
        </w:rPr>
        <w:tab/>
      </w:r>
    </w:p>
    <w:p w14:paraId="38999FA4">
      <w:pPr>
        <w:tabs>
          <w:tab w:val="left" w:pos="5670"/>
        </w:tabs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 xml:space="preserve">                                                             </w:t>
      </w:r>
    </w:p>
    <w:p w14:paraId="53971E60">
      <w:pPr>
        <w:tabs>
          <w:tab w:val="left" w:pos="5670"/>
        </w:tabs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 xml:space="preserve">                                                                                                       Приложение № 1</w:t>
      </w:r>
    </w:p>
    <w:p w14:paraId="693DAE35">
      <w:pPr>
        <w:tabs>
          <w:tab w:val="left" w:pos="5670"/>
        </w:tabs>
        <w:jc w:val="both"/>
        <w:outlineLvl w:val="0"/>
        <w:rPr>
          <w:rFonts w:eastAsia="Arial Unicode MS"/>
          <w:spacing w:val="-1"/>
          <w:sz w:val="24"/>
          <w:szCs w:val="24"/>
          <w:highlight w:val="none"/>
        </w:rPr>
      </w:pPr>
      <w:r>
        <w:rPr>
          <w:rFonts w:eastAsia="Arial Unicode MS"/>
          <w:spacing w:val="-1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hint="default" w:eastAsia="Arial Unicode MS"/>
          <w:spacing w:val="-1"/>
          <w:sz w:val="24"/>
          <w:szCs w:val="24"/>
          <w:lang w:val="ru-RU"/>
        </w:rPr>
        <w:t xml:space="preserve">   </w:t>
      </w:r>
      <w:r>
        <w:rPr>
          <w:rFonts w:hint="default" w:eastAsia="Arial Unicode MS"/>
          <w:spacing w:val="-1"/>
          <w:sz w:val="24"/>
          <w:szCs w:val="24"/>
          <w:highlight w:val="none"/>
          <w:lang w:val="ru-RU"/>
        </w:rPr>
        <w:t xml:space="preserve">   </w:t>
      </w:r>
      <w:r>
        <w:rPr>
          <w:rFonts w:eastAsia="Arial Unicode MS"/>
          <w:spacing w:val="-1"/>
          <w:sz w:val="24"/>
          <w:szCs w:val="24"/>
          <w:highlight w:val="none"/>
        </w:rPr>
        <w:t xml:space="preserve"> Утвержден </w:t>
      </w:r>
    </w:p>
    <w:p w14:paraId="0C42BCEA">
      <w:pPr>
        <w:tabs>
          <w:tab w:val="left" w:pos="5670"/>
        </w:tabs>
        <w:jc w:val="both"/>
        <w:outlineLvl w:val="0"/>
        <w:rPr>
          <w:rFonts w:eastAsia="Arial Unicode MS"/>
          <w:spacing w:val="-1"/>
          <w:sz w:val="24"/>
          <w:szCs w:val="24"/>
          <w:highlight w:val="none"/>
        </w:rPr>
      </w:pPr>
      <w:r>
        <w:rPr>
          <w:rFonts w:eastAsia="Arial Unicode MS"/>
          <w:spacing w:val="-1"/>
          <w:sz w:val="24"/>
          <w:szCs w:val="24"/>
          <w:highlight w:val="none"/>
        </w:rPr>
        <w:t xml:space="preserve">                                                                                                 </w:t>
      </w:r>
      <w:r>
        <w:rPr>
          <w:rFonts w:hint="default" w:eastAsia="Arial Unicode MS"/>
          <w:spacing w:val="-1"/>
          <w:sz w:val="24"/>
          <w:szCs w:val="24"/>
          <w:highlight w:val="none"/>
          <w:lang w:val="ru-RU"/>
        </w:rPr>
        <w:t xml:space="preserve">      </w:t>
      </w:r>
      <w:r>
        <w:rPr>
          <w:rFonts w:eastAsia="Arial Unicode MS"/>
          <w:spacing w:val="-1"/>
          <w:sz w:val="24"/>
          <w:szCs w:val="24"/>
          <w:highlight w:val="none"/>
        </w:rPr>
        <w:t>приказом ГАУСО СО</w:t>
      </w:r>
    </w:p>
    <w:p w14:paraId="3AA96F82">
      <w:pPr>
        <w:tabs>
          <w:tab w:val="left" w:pos="5670"/>
        </w:tabs>
        <w:ind w:firstLine="6096"/>
        <w:jc w:val="both"/>
        <w:outlineLvl w:val="0"/>
        <w:rPr>
          <w:rFonts w:eastAsia="Arial Unicode MS"/>
          <w:spacing w:val="-1"/>
          <w:sz w:val="24"/>
          <w:szCs w:val="24"/>
          <w:highlight w:val="none"/>
        </w:rPr>
      </w:pPr>
      <w:r>
        <w:rPr>
          <w:rFonts w:eastAsia="Arial Unicode MS"/>
          <w:spacing w:val="-1"/>
          <w:sz w:val="24"/>
          <w:szCs w:val="24"/>
          <w:highlight w:val="none"/>
        </w:rPr>
        <w:t xml:space="preserve">«Новоуральский КЦСОН» </w:t>
      </w:r>
    </w:p>
    <w:p w14:paraId="309B93FB">
      <w:pPr>
        <w:tabs>
          <w:tab w:val="left" w:pos="5670"/>
        </w:tabs>
        <w:ind w:firstLine="6096"/>
        <w:jc w:val="both"/>
        <w:outlineLvl w:val="0"/>
        <w:rPr>
          <w:rFonts w:hint="default" w:eastAsia="Arial Unicode MS"/>
          <w:spacing w:val="-1"/>
          <w:sz w:val="24"/>
          <w:szCs w:val="24"/>
          <w:highlight w:val="none"/>
          <w:lang w:val="ru-RU"/>
        </w:rPr>
      </w:pPr>
      <w:r>
        <w:rPr>
          <w:rFonts w:eastAsia="Arial Unicode MS"/>
          <w:spacing w:val="-1"/>
          <w:sz w:val="24"/>
          <w:szCs w:val="24"/>
          <w:highlight w:val="none"/>
        </w:rPr>
        <w:t xml:space="preserve">от </w:t>
      </w:r>
      <w:r>
        <w:rPr>
          <w:rFonts w:hint="default" w:eastAsia="Arial Unicode MS"/>
          <w:spacing w:val="-1"/>
          <w:sz w:val="24"/>
          <w:szCs w:val="24"/>
          <w:highlight w:val="none"/>
          <w:lang w:val="ru-RU"/>
        </w:rPr>
        <w:t>28.01.2025 № 02</w:t>
      </w:r>
    </w:p>
    <w:p w14:paraId="5FED48E3">
      <w:pPr>
        <w:ind w:left="5670"/>
        <w:outlineLvl w:val="0"/>
        <w:rPr>
          <w:color w:val="000000"/>
          <w:sz w:val="28"/>
          <w:szCs w:val="22"/>
        </w:rPr>
      </w:pPr>
    </w:p>
    <w:p w14:paraId="07A37CEA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План мероприятий </w:t>
      </w:r>
    </w:p>
    <w:p w14:paraId="495429F5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ГАУСО СО «Новоуральский КЦСОН» </w:t>
      </w:r>
    </w:p>
    <w:p w14:paraId="6DDD2144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 противодействию коррупции на 202</w:t>
      </w:r>
      <w:r>
        <w:rPr>
          <w:rFonts w:hint="default" w:eastAsia="Calibri"/>
          <w:b/>
          <w:sz w:val="28"/>
          <w:szCs w:val="28"/>
          <w:lang w:val="ru-RU" w:eastAsia="en-US"/>
        </w:rPr>
        <w:t>5</w:t>
      </w:r>
      <w:r>
        <w:rPr>
          <w:rFonts w:eastAsia="Calibri"/>
          <w:b/>
          <w:sz w:val="28"/>
          <w:szCs w:val="28"/>
          <w:lang w:eastAsia="en-US"/>
        </w:rPr>
        <w:t>-202</w:t>
      </w:r>
      <w:r>
        <w:rPr>
          <w:rFonts w:hint="default" w:eastAsia="Calibri"/>
          <w:b/>
          <w:sz w:val="28"/>
          <w:szCs w:val="28"/>
          <w:lang w:val="ru-RU" w:eastAsia="en-US"/>
        </w:rPr>
        <w:t>8</w:t>
      </w:r>
      <w:r>
        <w:rPr>
          <w:rFonts w:eastAsia="Calibri"/>
          <w:b/>
          <w:sz w:val="28"/>
          <w:szCs w:val="28"/>
          <w:lang w:eastAsia="en-US"/>
        </w:rPr>
        <w:t xml:space="preserve"> годы</w:t>
      </w:r>
    </w:p>
    <w:p w14:paraId="37BCC78D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5"/>
        <w:tblW w:w="100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2656"/>
        <w:gridCol w:w="2052"/>
        <w:gridCol w:w="2432"/>
        <w:gridCol w:w="2082"/>
      </w:tblGrid>
      <w:tr w14:paraId="443F7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5C4DA931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>
              <w:rPr>
                <w:rFonts w:eastAsia="Lucida Sans Unicode" w:cs="Tahoma"/>
                <w:b/>
                <w:kern w:val="1"/>
              </w:rPr>
              <w:t>Номер строки</w:t>
            </w:r>
          </w:p>
        </w:tc>
        <w:tc>
          <w:tcPr>
            <w:tcW w:w="2656" w:type="dxa"/>
            <w:shd w:val="clear" w:color="auto" w:fill="auto"/>
          </w:tcPr>
          <w:p w14:paraId="4699274C">
            <w:pPr>
              <w:widowControl w:val="0"/>
              <w:suppressAutoHyphens/>
              <w:ind w:left="68"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>
              <w:rPr>
                <w:rFonts w:eastAsia="Lucida Sans Unicode" w:cs="Tahoma"/>
                <w:b/>
                <w:kern w:val="1"/>
              </w:rPr>
              <w:t>Наименование мероприятия</w:t>
            </w:r>
          </w:p>
        </w:tc>
        <w:tc>
          <w:tcPr>
            <w:tcW w:w="2052" w:type="dxa"/>
            <w:shd w:val="clear" w:color="auto" w:fill="auto"/>
          </w:tcPr>
          <w:p w14:paraId="57E08698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>
              <w:rPr>
                <w:rFonts w:eastAsia="Lucida Sans Unicode" w:cs="Tahoma"/>
                <w:b/>
                <w:kern w:val="1"/>
              </w:rPr>
              <w:t>Ответственный исполнитель мероприятия</w:t>
            </w:r>
          </w:p>
        </w:tc>
        <w:tc>
          <w:tcPr>
            <w:tcW w:w="2432" w:type="dxa"/>
            <w:shd w:val="clear" w:color="auto" w:fill="auto"/>
          </w:tcPr>
          <w:p w14:paraId="05F0A39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>
              <w:rPr>
                <w:rFonts w:eastAsia="Lucida Sans Unicode" w:cs="Tahoma"/>
                <w:b/>
                <w:kern w:val="1"/>
              </w:rPr>
              <w:t>Показатели исполнении мероприятия</w:t>
            </w:r>
          </w:p>
        </w:tc>
        <w:tc>
          <w:tcPr>
            <w:tcW w:w="2082" w:type="dxa"/>
            <w:shd w:val="clear" w:color="auto" w:fill="auto"/>
          </w:tcPr>
          <w:p w14:paraId="063B0818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>
              <w:rPr>
                <w:rFonts w:eastAsia="Lucida Sans Unicode" w:cs="Tahoma"/>
                <w:b/>
                <w:kern w:val="1"/>
              </w:rPr>
              <w:t>Периодичность или сроки исполнения</w:t>
            </w:r>
          </w:p>
        </w:tc>
      </w:tr>
      <w:tr w14:paraId="2AD26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0AFC89A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1</w:t>
            </w:r>
          </w:p>
        </w:tc>
        <w:tc>
          <w:tcPr>
            <w:tcW w:w="2656" w:type="dxa"/>
            <w:shd w:val="clear" w:color="auto" w:fill="auto"/>
          </w:tcPr>
          <w:p w14:paraId="11446B09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2</w:t>
            </w:r>
          </w:p>
        </w:tc>
        <w:tc>
          <w:tcPr>
            <w:tcW w:w="2052" w:type="dxa"/>
            <w:shd w:val="clear" w:color="auto" w:fill="auto"/>
          </w:tcPr>
          <w:p w14:paraId="529E1618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3</w:t>
            </w:r>
          </w:p>
        </w:tc>
        <w:tc>
          <w:tcPr>
            <w:tcW w:w="2432" w:type="dxa"/>
            <w:shd w:val="clear" w:color="auto" w:fill="auto"/>
          </w:tcPr>
          <w:p w14:paraId="5E753135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4</w:t>
            </w:r>
          </w:p>
        </w:tc>
        <w:tc>
          <w:tcPr>
            <w:tcW w:w="2082" w:type="dxa"/>
            <w:shd w:val="clear" w:color="auto" w:fill="auto"/>
          </w:tcPr>
          <w:p w14:paraId="460BB705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5</w:t>
            </w:r>
          </w:p>
        </w:tc>
      </w:tr>
      <w:tr w14:paraId="4D524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7A0E513F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1.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14:paraId="16B31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8D13E9C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800303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>Мониторинг локальных актов ГАУСО СО «Новоуральский КЦСОН» (далее – Учреждение) по вопросам противодействия коррупции на соответствие  законодательству Российской Федерации и законодательству Свердловской области</w:t>
            </w:r>
          </w:p>
        </w:tc>
        <w:tc>
          <w:tcPr>
            <w:tcW w:w="2052" w:type="dxa"/>
            <w:shd w:val="clear" w:color="auto" w:fill="auto"/>
          </w:tcPr>
          <w:p w14:paraId="0AF92437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>Юрисконсульт</w:t>
            </w:r>
          </w:p>
        </w:tc>
        <w:tc>
          <w:tcPr>
            <w:tcW w:w="2432" w:type="dxa"/>
            <w:shd w:val="clear" w:color="auto" w:fill="auto"/>
          </w:tcPr>
          <w:p w14:paraId="587E0F88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 xml:space="preserve">Направление  директору учреждения предложений </w:t>
            </w:r>
          </w:p>
          <w:p w14:paraId="5FDA7839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>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2082" w:type="dxa"/>
            <w:shd w:val="clear" w:color="auto" w:fill="auto"/>
          </w:tcPr>
          <w:p w14:paraId="733D5ACD">
            <w:pPr>
              <w:widowControl w:val="0"/>
              <w:suppressAutoHyphens/>
              <w:ind w:firstLine="34"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14:paraId="66072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4B13BFF4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0BFD327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bCs/>
                <w:kern w:val="1"/>
                <w:sz w:val="24"/>
                <w:szCs w:val="24"/>
              </w:rPr>
              <w:t>Внесение изменений в действующие локальные акты Учреждения в целях приведения в соответствие с требованиями действующего законодательства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bCs/>
                <w:kern w:val="1"/>
                <w:sz w:val="24"/>
                <w:szCs w:val="24"/>
              </w:rPr>
              <w:t>Российской Федерации,  законодательства Свердловской области в сфере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14:paraId="43CFC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директора, специалист по кадрам,</w:t>
            </w:r>
          </w:p>
          <w:p w14:paraId="187C5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  <w:tc>
          <w:tcPr>
            <w:tcW w:w="2432" w:type="dxa"/>
            <w:shd w:val="clear" w:color="auto" w:fill="auto"/>
          </w:tcPr>
          <w:p w14:paraId="627ADF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 проектов приказов учреждения,</w:t>
            </w:r>
          </w:p>
          <w:p w14:paraId="4FCCA3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замена (актуализация) правовых актов на сайте учреждения в течение 10 рабочих дней со дня принятия правового акта </w:t>
            </w:r>
          </w:p>
        </w:tc>
        <w:tc>
          <w:tcPr>
            <w:tcW w:w="2082" w:type="dxa"/>
            <w:shd w:val="clear" w:color="auto" w:fill="auto"/>
          </w:tcPr>
          <w:p w14:paraId="3CE72B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14:paraId="1099E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05F19B47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343DD5E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Calibri"/>
                <w:kern w:val="1"/>
                <w:sz w:val="24"/>
                <w:szCs w:val="24"/>
                <w:lang w:eastAsia="ar-SA"/>
              </w:rPr>
              <w:t>Составление списка получателей социальных услуг в надомной форме социального обслуживания, не имеющих родственников</w:t>
            </w:r>
          </w:p>
        </w:tc>
        <w:tc>
          <w:tcPr>
            <w:tcW w:w="2052" w:type="dxa"/>
            <w:shd w:val="clear" w:color="auto" w:fill="auto"/>
          </w:tcPr>
          <w:p w14:paraId="505459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отделением социального обслуживания на дому </w:t>
            </w:r>
          </w:p>
        </w:tc>
        <w:tc>
          <w:tcPr>
            <w:tcW w:w="2432" w:type="dxa"/>
            <w:shd w:val="clear" w:color="auto" w:fill="auto"/>
          </w:tcPr>
          <w:p w14:paraId="3C3D04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списка получателей социальных услуг, обслуживающихся в форме на дому, заместителю директора</w:t>
            </w:r>
          </w:p>
        </w:tc>
        <w:tc>
          <w:tcPr>
            <w:tcW w:w="2082" w:type="dxa"/>
            <w:shd w:val="clear" w:color="auto" w:fill="auto"/>
          </w:tcPr>
          <w:p w14:paraId="37F713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 начале календарного года </w:t>
            </w:r>
          </w:p>
        </w:tc>
      </w:tr>
      <w:tr w14:paraId="3F764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286AF7F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5F38BF7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бесед с получателями социальных услуг в форме социального обслуживания на дому, не имеющих родственников, о недопустимости завещания, дарения имущества социальным работникам</w:t>
            </w:r>
          </w:p>
        </w:tc>
        <w:tc>
          <w:tcPr>
            <w:tcW w:w="2052" w:type="dxa"/>
            <w:shd w:val="clear" w:color="auto" w:fill="auto"/>
          </w:tcPr>
          <w:p w14:paraId="5A7C523B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Заведующий отделением социального обслуживания на дому</w:t>
            </w:r>
          </w:p>
        </w:tc>
        <w:tc>
          <w:tcPr>
            <w:tcW w:w="2432" w:type="dxa"/>
            <w:shd w:val="clear" w:color="auto" w:fill="auto"/>
          </w:tcPr>
          <w:p w14:paraId="25BBDBEF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Служебные  записки на имя директора о результатах бесед, количество получателей социальных услуг, с которыми проведены беседы</w:t>
            </w:r>
          </w:p>
        </w:tc>
        <w:tc>
          <w:tcPr>
            <w:tcW w:w="2082" w:type="dxa"/>
            <w:shd w:val="clear" w:color="auto" w:fill="auto"/>
          </w:tcPr>
          <w:p w14:paraId="793AE4D1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3-4 раза в год</w:t>
            </w:r>
          </w:p>
        </w:tc>
      </w:tr>
      <w:tr w14:paraId="4C2AE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41F6C868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2.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14:paraId="685D7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6DEAAD32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227080A1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2052" w:type="dxa"/>
            <w:shd w:val="clear" w:color="auto" w:fill="auto"/>
          </w:tcPr>
          <w:p w14:paraId="38E73565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комиссии, заместитель председателя комиссии</w:t>
            </w:r>
          </w:p>
        </w:tc>
        <w:tc>
          <w:tcPr>
            <w:tcW w:w="2432" w:type="dxa"/>
            <w:shd w:val="clear" w:color="auto" w:fill="auto"/>
          </w:tcPr>
          <w:p w14:paraId="0E93099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Стабильная работа комиссии в течение периода действия настоящего плана мероприятий</w:t>
            </w:r>
          </w:p>
        </w:tc>
        <w:tc>
          <w:tcPr>
            <w:tcW w:w="2082" w:type="dxa"/>
            <w:shd w:val="clear" w:color="auto" w:fill="auto"/>
          </w:tcPr>
          <w:p w14:paraId="687B5566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не менее 4 заседаний комиссии в течение календарного года.</w:t>
            </w:r>
          </w:p>
        </w:tc>
      </w:tr>
      <w:tr w14:paraId="49802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79B739A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09691E1">
            <w:pPr>
              <w:widowControl w:val="0"/>
              <w:suppressAutoHyphens/>
              <w:jc w:val="both"/>
              <w:textAlignment w:val="baseline"/>
              <w:rPr>
                <w:rFonts w:eastAsia="Calibri"/>
                <w:kern w:val="1"/>
                <w:sz w:val="24"/>
                <w:szCs w:val="24"/>
                <w:lang w:eastAsia="ar-SA"/>
              </w:rPr>
            </w:pPr>
            <w:r>
              <w:rPr>
                <w:rFonts w:eastAsia="Calibri"/>
                <w:kern w:val="1"/>
                <w:sz w:val="24"/>
                <w:szCs w:val="24"/>
                <w:lang w:eastAsia="ar-SA"/>
              </w:rPr>
              <w:t xml:space="preserve"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 </w:t>
            </w:r>
          </w:p>
        </w:tc>
        <w:tc>
          <w:tcPr>
            <w:tcW w:w="2052" w:type="dxa"/>
            <w:shd w:val="clear" w:color="auto" w:fill="auto"/>
          </w:tcPr>
          <w:p w14:paraId="528090A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кадрам, юрисконсульт </w:t>
            </w:r>
          </w:p>
        </w:tc>
        <w:tc>
          <w:tcPr>
            <w:tcW w:w="2432" w:type="dxa"/>
            <w:shd w:val="clear" w:color="auto" w:fill="auto"/>
          </w:tcPr>
          <w:p w14:paraId="5F942CB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Ознакомление вновь принятых работников с правовыми актами по противодействию коррупции.</w:t>
            </w:r>
          </w:p>
          <w:p w14:paraId="151D55EF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Повторное изучение правовых актов по вопросам противодействия коррупции работниками-стажистами.</w:t>
            </w:r>
          </w:p>
        </w:tc>
        <w:tc>
          <w:tcPr>
            <w:tcW w:w="2082" w:type="dxa"/>
            <w:shd w:val="clear" w:color="auto" w:fill="auto"/>
          </w:tcPr>
          <w:p w14:paraId="4322BA4F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При оформлении документов о принятии на работу.</w:t>
            </w:r>
          </w:p>
          <w:p w14:paraId="186E8B98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14:paraId="51DD5901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2 раза в течение календарного года.</w:t>
            </w:r>
          </w:p>
        </w:tc>
      </w:tr>
      <w:tr w14:paraId="0491A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7F00CDE6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7F883382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Ознакомление с Кодексом этики социальных работников Учреждения вновь поступающих на работу сотрудников</w:t>
            </w:r>
          </w:p>
        </w:tc>
        <w:tc>
          <w:tcPr>
            <w:tcW w:w="2052" w:type="dxa"/>
            <w:shd w:val="clear" w:color="auto" w:fill="auto"/>
          </w:tcPr>
          <w:p w14:paraId="07E7741D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</w:t>
            </w:r>
          </w:p>
        </w:tc>
        <w:tc>
          <w:tcPr>
            <w:tcW w:w="2432" w:type="dxa"/>
            <w:shd w:val="clear" w:color="auto" w:fill="auto"/>
          </w:tcPr>
          <w:p w14:paraId="38C4E810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Ознакомление вновь принятых работников </w:t>
            </w:r>
          </w:p>
        </w:tc>
        <w:tc>
          <w:tcPr>
            <w:tcW w:w="2082" w:type="dxa"/>
            <w:shd w:val="clear" w:color="auto" w:fill="auto"/>
          </w:tcPr>
          <w:p w14:paraId="43ABE58D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При оформлении документов о принятии на работу</w:t>
            </w:r>
          </w:p>
        </w:tc>
      </w:tr>
      <w:tr w14:paraId="282F4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49792D6B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6FB76A7B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bCs/>
                <w:kern w:val="1"/>
                <w:sz w:val="24"/>
                <w:szCs w:val="24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2052" w:type="dxa"/>
            <w:shd w:val="clear" w:color="auto" w:fill="auto"/>
          </w:tcPr>
          <w:p w14:paraId="6623681D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</w:t>
            </w:r>
          </w:p>
        </w:tc>
        <w:tc>
          <w:tcPr>
            <w:tcW w:w="2432" w:type="dxa"/>
            <w:shd w:val="clear" w:color="auto" w:fill="auto"/>
          </w:tcPr>
          <w:p w14:paraId="1CF03F8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Оформление должностных инструкций с отдельными обязанностями по антикоррупционной деятельности. Пересмотр должностных инструкций работников-стажистов на предмет включения в них отдельных обязанностей по антикоррупционной деятельности </w:t>
            </w:r>
          </w:p>
        </w:tc>
        <w:tc>
          <w:tcPr>
            <w:tcW w:w="2082" w:type="dxa"/>
            <w:shd w:val="clear" w:color="auto" w:fill="auto"/>
          </w:tcPr>
          <w:p w14:paraId="3256A5F7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При оформлении документов о принятии на работу</w:t>
            </w:r>
          </w:p>
          <w:p w14:paraId="489EFDB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14:paraId="0F015A38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14:paraId="5A4A710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14:paraId="48E2739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В течение одного календарного года по мере внесения изменений в должностные инструкции</w:t>
            </w:r>
          </w:p>
        </w:tc>
      </w:tr>
      <w:tr w14:paraId="4E69E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54B5DDA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2E9AFBF1">
            <w:pPr>
              <w:widowControl w:val="0"/>
              <w:suppressAutoHyphens/>
              <w:jc w:val="both"/>
              <w:textAlignment w:val="baseline"/>
              <w:rPr>
                <w:bCs/>
                <w:kern w:val="1"/>
                <w:sz w:val="24"/>
                <w:szCs w:val="24"/>
              </w:rPr>
            </w:pPr>
            <w:r>
              <w:rPr>
                <w:bCs/>
                <w:kern w:val="1"/>
                <w:sz w:val="24"/>
                <w:szCs w:val="24"/>
              </w:rPr>
              <w:t xml:space="preserve">Включение в трудовые договоры работников учреждения антикоррупционной оговорки </w:t>
            </w:r>
          </w:p>
        </w:tc>
        <w:tc>
          <w:tcPr>
            <w:tcW w:w="2052" w:type="dxa"/>
            <w:shd w:val="clear" w:color="auto" w:fill="auto"/>
          </w:tcPr>
          <w:p w14:paraId="1F8F382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 </w:t>
            </w:r>
          </w:p>
        </w:tc>
        <w:tc>
          <w:tcPr>
            <w:tcW w:w="2432" w:type="dxa"/>
            <w:shd w:val="clear" w:color="auto" w:fill="auto"/>
          </w:tcPr>
          <w:p w14:paraId="0213A705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Оформление раздела «Антикоррупционная оговорка» в трудовых договорах работников в соответствии с установленной формой</w:t>
            </w:r>
          </w:p>
        </w:tc>
        <w:tc>
          <w:tcPr>
            <w:tcW w:w="2082" w:type="dxa"/>
            <w:shd w:val="clear" w:color="auto" w:fill="auto"/>
          </w:tcPr>
          <w:p w14:paraId="16769B8F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57A46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3965F910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20337143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Обеспечение контроля соблюдения работниками Учреждения:</w:t>
            </w:r>
          </w:p>
          <w:p w14:paraId="2A493AC9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- требований по предотвращению и урегулированию конфликта интересов; норм этики и служебного поведения, установленных в целях противодействия коррупции;</w:t>
            </w:r>
          </w:p>
          <w:p w14:paraId="2581F421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14:paraId="620E4444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bCs/>
                <w:kern w:val="1"/>
                <w:sz w:val="24"/>
                <w:szCs w:val="24"/>
              </w:rPr>
              <w:t>- требований об уведомлении о фактах склонения к совершению коррупционных правонарушений</w:t>
            </w:r>
          </w:p>
        </w:tc>
        <w:tc>
          <w:tcPr>
            <w:tcW w:w="2052" w:type="dxa"/>
            <w:shd w:val="clear" w:color="auto" w:fill="auto"/>
          </w:tcPr>
          <w:p w14:paraId="5DE3F98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кадрам, юрисконсульт </w:t>
            </w:r>
          </w:p>
        </w:tc>
        <w:tc>
          <w:tcPr>
            <w:tcW w:w="2432" w:type="dxa"/>
            <w:shd w:val="clear" w:color="auto" w:fill="auto"/>
          </w:tcPr>
          <w:p w14:paraId="0E8F2164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82" w:type="dxa"/>
            <w:shd w:val="clear" w:color="auto" w:fill="auto"/>
          </w:tcPr>
          <w:p w14:paraId="490DD94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Постоянно</w:t>
            </w:r>
          </w:p>
        </w:tc>
      </w:tr>
      <w:tr w14:paraId="1E430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6D86C2DD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3.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14:paraId="13418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39EB27CF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1E2C097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Проведение технических учеб среди работников Учреждения по вопросу соблюдения Кодекса этики социальных работников и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14:paraId="7DDF54D6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кадрам, юрисконсульт</w:t>
            </w:r>
          </w:p>
        </w:tc>
        <w:tc>
          <w:tcPr>
            <w:tcW w:w="2432" w:type="dxa"/>
            <w:shd w:val="clear" w:color="auto" w:fill="auto"/>
          </w:tcPr>
          <w:p w14:paraId="24434E36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занятий по технической учебе</w:t>
            </w:r>
          </w:p>
        </w:tc>
        <w:tc>
          <w:tcPr>
            <w:tcW w:w="2082" w:type="dxa"/>
            <w:shd w:val="clear" w:color="auto" w:fill="auto"/>
          </w:tcPr>
          <w:p w14:paraId="7D0BB5CA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2 раза в течение 1 календарного года</w:t>
            </w:r>
          </w:p>
        </w:tc>
      </w:tr>
      <w:tr w14:paraId="0FD3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7619C429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C0AE350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bCs/>
                <w:kern w:val="1"/>
                <w:sz w:val="24"/>
                <w:szCs w:val="24"/>
              </w:rPr>
              <w:t>Актуализация наглядной информации, посвященной вопросам противодействия коррупции (том числе на сайте Учреждения и (или) на информационных стендах)</w:t>
            </w:r>
          </w:p>
        </w:tc>
        <w:tc>
          <w:tcPr>
            <w:tcW w:w="2052" w:type="dxa"/>
            <w:shd w:val="clear" w:color="auto" w:fill="auto"/>
          </w:tcPr>
          <w:p w14:paraId="031665C6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</w:t>
            </w:r>
          </w:p>
          <w:p w14:paraId="0ED3978F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08C477D8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вопросам противодействия коррупции</w:t>
            </w:r>
          </w:p>
        </w:tc>
        <w:tc>
          <w:tcPr>
            <w:tcW w:w="2082" w:type="dxa"/>
            <w:shd w:val="clear" w:color="auto" w:fill="auto"/>
          </w:tcPr>
          <w:p w14:paraId="19C29E0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В течение 5 рабочих дней с момента появления изменений в законодательстве по вопросам противодействия коррупции</w:t>
            </w:r>
          </w:p>
        </w:tc>
      </w:tr>
      <w:tr w14:paraId="30318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0ABF2A22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03044B75">
            <w:pPr>
              <w:widowControl w:val="0"/>
              <w:suppressAutoHyphens/>
              <w:jc w:val="both"/>
              <w:textAlignment w:val="baseline"/>
              <w:rPr>
                <w:bCs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14:paraId="037BAA42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 по противодействию коррупции, заместитель председателя</w:t>
            </w:r>
          </w:p>
        </w:tc>
        <w:tc>
          <w:tcPr>
            <w:tcW w:w="2432" w:type="dxa"/>
            <w:shd w:val="clear" w:color="auto" w:fill="auto"/>
          </w:tcPr>
          <w:p w14:paraId="5E3B2CCC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bCs/>
                <w:kern w:val="1"/>
                <w:sz w:val="24"/>
                <w:szCs w:val="24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  <w:tc>
          <w:tcPr>
            <w:tcW w:w="2082" w:type="dxa"/>
            <w:shd w:val="clear" w:color="auto" w:fill="auto"/>
          </w:tcPr>
          <w:p w14:paraId="47E6ACA8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 мере проведения совещаний </w:t>
            </w: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br w:type="textWrapping"/>
            </w: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br w:type="textWrapping"/>
            </w: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Повышение квалификации 1 раз в 3 года </w:t>
            </w:r>
          </w:p>
        </w:tc>
      </w:tr>
      <w:tr w14:paraId="3C83C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290EF7B5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4.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Обеспечение соответствия системы внутреннего контроля в учреждении</w:t>
            </w:r>
          </w:p>
        </w:tc>
      </w:tr>
      <w:tr w14:paraId="736B4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C68F9D7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8D13751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052" w:type="dxa"/>
            <w:shd w:val="clear" w:color="auto" w:fill="auto"/>
          </w:tcPr>
          <w:p w14:paraId="49062CFB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Главный бухгалтер Учреждения</w:t>
            </w:r>
          </w:p>
        </w:tc>
        <w:tc>
          <w:tcPr>
            <w:tcW w:w="2432" w:type="dxa"/>
            <w:shd w:val="clear" w:color="auto" w:fill="auto"/>
          </w:tcPr>
          <w:p w14:paraId="5C417B0F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Систематический контроль ведения бухгалтерского учета</w:t>
            </w:r>
          </w:p>
        </w:tc>
        <w:tc>
          <w:tcPr>
            <w:tcW w:w="2082" w:type="dxa"/>
            <w:shd w:val="clear" w:color="auto" w:fill="auto"/>
          </w:tcPr>
          <w:p w14:paraId="1B792CC1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14:paraId="42E8F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272F980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24E34901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2052" w:type="dxa"/>
            <w:shd w:val="clear" w:color="auto" w:fill="auto"/>
          </w:tcPr>
          <w:p w14:paraId="54A2366D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 по закупкам</w:t>
            </w:r>
          </w:p>
        </w:tc>
        <w:tc>
          <w:tcPr>
            <w:tcW w:w="2432" w:type="dxa"/>
            <w:shd w:val="clear" w:color="auto" w:fill="auto"/>
          </w:tcPr>
          <w:p w14:paraId="5835E663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Исполнение пунктов плана по закупкам</w:t>
            </w:r>
          </w:p>
        </w:tc>
        <w:tc>
          <w:tcPr>
            <w:tcW w:w="2082" w:type="dxa"/>
            <w:shd w:val="clear" w:color="auto" w:fill="auto"/>
          </w:tcPr>
          <w:p w14:paraId="18679818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14:paraId="44BA2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340420F2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4979768F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контроля качества оказываемых услуг</w:t>
            </w:r>
          </w:p>
          <w:p w14:paraId="05D2B229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  <w:shd w:val="clear" w:color="auto" w:fill="auto"/>
          </w:tcPr>
          <w:p w14:paraId="2F415E13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социальной работе консультативного отделения </w:t>
            </w:r>
          </w:p>
        </w:tc>
        <w:tc>
          <w:tcPr>
            <w:tcW w:w="2432" w:type="dxa"/>
            <w:shd w:val="clear" w:color="auto" w:fill="auto"/>
          </w:tcPr>
          <w:p w14:paraId="18D1B1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Опрос по качеству социального обслуживания посредством анкетирования получателей социальных услуг</w:t>
            </w:r>
          </w:p>
        </w:tc>
        <w:tc>
          <w:tcPr>
            <w:tcW w:w="2082" w:type="dxa"/>
            <w:shd w:val="clear" w:color="auto" w:fill="auto"/>
          </w:tcPr>
          <w:p w14:paraId="67DB02CB">
            <w:pPr>
              <w:widowControl w:val="0"/>
              <w:suppressAutoHyphens/>
              <w:textAlignment w:val="baseline"/>
              <w:rPr>
                <w:rFonts w:hint="default" w:eastAsia="Lucida Sans Unicode" w:cs="Tahoma"/>
                <w:kern w:val="1"/>
                <w:sz w:val="24"/>
                <w:szCs w:val="24"/>
                <w:lang w:val="ru-RU"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Еж</w:t>
            </w:r>
            <w:r>
              <w:rPr>
                <w:rFonts w:eastAsia="Lucida Sans Unicode" w:cs="Tahoma"/>
                <w:kern w:val="1"/>
                <w:sz w:val="24"/>
                <w:szCs w:val="24"/>
                <w:lang w:val="ru-RU" w:eastAsia="ar-SA"/>
              </w:rPr>
              <w:t>еквартально</w:t>
            </w:r>
            <w:r>
              <w:rPr>
                <w:rFonts w:hint="default" w:eastAsia="Lucida Sans Unicode" w:cs="Tahoma"/>
                <w:kern w:val="1"/>
                <w:sz w:val="24"/>
                <w:szCs w:val="24"/>
                <w:lang w:val="ru-RU" w:eastAsia="ar-SA"/>
              </w:rPr>
              <w:t xml:space="preserve"> </w:t>
            </w:r>
          </w:p>
        </w:tc>
      </w:tr>
      <w:tr w14:paraId="29FCD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49E51298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4C1BBF5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</w:rPr>
              <w:t>Осуществление контроля исполнения плана финансово-хозяйственной деятельности</w:t>
            </w:r>
          </w:p>
        </w:tc>
        <w:tc>
          <w:tcPr>
            <w:tcW w:w="2052" w:type="dxa"/>
            <w:shd w:val="clear" w:color="auto" w:fill="auto"/>
          </w:tcPr>
          <w:p w14:paraId="03A4F3FC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Члены Наблюдательного совета Учреждения</w:t>
            </w:r>
          </w:p>
        </w:tc>
        <w:tc>
          <w:tcPr>
            <w:tcW w:w="2432" w:type="dxa"/>
            <w:shd w:val="clear" w:color="auto" w:fill="auto"/>
          </w:tcPr>
          <w:p w14:paraId="1FD274FD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заседаний Наблюдательного совета</w:t>
            </w:r>
          </w:p>
        </w:tc>
        <w:tc>
          <w:tcPr>
            <w:tcW w:w="2082" w:type="dxa"/>
            <w:shd w:val="clear" w:color="auto" w:fill="auto"/>
          </w:tcPr>
          <w:p w14:paraId="1BE5472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14:paraId="18CC9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0582CD7F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6B3DBF7C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Включение в договоры поставок, выполнения работ, оказания услуг антикоррупционной оговорки </w:t>
            </w:r>
          </w:p>
        </w:tc>
        <w:tc>
          <w:tcPr>
            <w:tcW w:w="2052" w:type="dxa"/>
            <w:shd w:val="clear" w:color="auto" w:fill="auto"/>
          </w:tcPr>
          <w:p w14:paraId="42AA539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Юрисконсульт </w:t>
            </w:r>
          </w:p>
        </w:tc>
        <w:tc>
          <w:tcPr>
            <w:tcW w:w="2432" w:type="dxa"/>
            <w:shd w:val="clear" w:color="auto" w:fill="auto"/>
          </w:tcPr>
          <w:p w14:paraId="238B89F8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Оформление раздела «Антикоррупционная оговорка» в гражданско-правовых договорах в соответствии с установленной формой</w:t>
            </w:r>
          </w:p>
        </w:tc>
        <w:tc>
          <w:tcPr>
            <w:tcW w:w="2082" w:type="dxa"/>
            <w:shd w:val="clear" w:color="auto" w:fill="auto"/>
          </w:tcPr>
          <w:p w14:paraId="007B2B14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320E3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7292300A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5.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Работа с обращениями граждан и организаций по фактам коррупции</w:t>
            </w:r>
          </w:p>
        </w:tc>
      </w:tr>
      <w:tr w14:paraId="222EE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1B8BA12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0DA93807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052" w:type="dxa"/>
            <w:shd w:val="clear" w:color="auto" w:fill="auto"/>
          </w:tcPr>
          <w:p w14:paraId="454F80C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16EE8C74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Необходимую форму разместить на официальном сайте Учреждения</w:t>
            </w:r>
          </w:p>
        </w:tc>
        <w:tc>
          <w:tcPr>
            <w:tcW w:w="2082" w:type="dxa"/>
            <w:shd w:val="clear" w:color="auto" w:fill="auto"/>
          </w:tcPr>
          <w:p w14:paraId="73732F2F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04B32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41C0D84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4D153F0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2052" w:type="dxa"/>
            <w:shd w:val="clear" w:color="auto" w:fill="auto"/>
          </w:tcPr>
          <w:p w14:paraId="7D8EDE4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Заместитель директора, специалист по социальной работе консультативного отделения </w:t>
            </w:r>
          </w:p>
        </w:tc>
        <w:tc>
          <w:tcPr>
            <w:tcW w:w="2432" w:type="dxa"/>
            <w:shd w:val="clear" w:color="auto" w:fill="auto"/>
          </w:tcPr>
          <w:p w14:paraId="70A2F31B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Организация мониторинга обращений и результатов рассмотрения обращений граждан и организаций о фактах коррупции, анализ обращений граждан по фактам коррупции</w:t>
            </w:r>
          </w:p>
        </w:tc>
        <w:tc>
          <w:tcPr>
            <w:tcW w:w="2082" w:type="dxa"/>
            <w:shd w:val="clear" w:color="auto" w:fill="auto"/>
          </w:tcPr>
          <w:p w14:paraId="705E3B9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34102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5F179F9B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449AF907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52" w:type="dxa"/>
            <w:shd w:val="clear" w:color="auto" w:fill="auto"/>
          </w:tcPr>
          <w:p w14:paraId="5877356D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юрисконсульт</w:t>
            </w:r>
          </w:p>
        </w:tc>
        <w:tc>
          <w:tcPr>
            <w:tcW w:w="2432" w:type="dxa"/>
            <w:shd w:val="clear" w:color="auto" w:fill="auto"/>
          </w:tcPr>
          <w:p w14:paraId="2D2ACAD2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Организация для жителей г. Новоуральска мероприятий в рамках Международного дня борьбы с коррупцией</w:t>
            </w:r>
          </w:p>
        </w:tc>
        <w:tc>
          <w:tcPr>
            <w:tcW w:w="2082" w:type="dxa"/>
            <w:shd w:val="clear" w:color="auto" w:fill="auto"/>
          </w:tcPr>
          <w:p w14:paraId="2F1D4F6A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Согласно плану мероприятий оповещение жителей г. Новоуральска до проведения мероприятий</w:t>
            </w:r>
          </w:p>
        </w:tc>
      </w:tr>
      <w:tr w14:paraId="791A8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44032CE2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/>
                <w:b/>
                <w:bCs/>
                <w:kern w:val="1"/>
                <w:sz w:val="24"/>
                <w:szCs w:val="24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6.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Обеспечение открытости деятельности Учреждения</w:t>
            </w:r>
          </w:p>
          <w:p w14:paraId="7A9443AC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в сфере противодействия коррупции</w:t>
            </w:r>
          </w:p>
        </w:tc>
      </w:tr>
      <w:tr w14:paraId="45EF1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4902791E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654A49F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2052" w:type="dxa"/>
            <w:shd w:val="clear" w:color="auto" w:fill="auto"/>
          </w:tcPr>
          <w:p w14:paraId="0DA24C0A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6998411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на официальном сайте Учреждения</w:t>
            </w:r>
          </w:p>
        </w:tc>
        <w:tc>
          <w:tcPr>
            <w:tcW w:w="2082" w:type="dxa"/>
            <w:shd w:val="clear" w:color="auto" w:fill="auto"/>
          </w:tcPr>
          <w:p w14:paraId="0598984A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77AAC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665825E5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3C22454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052" w:type="dxa"/>
            <w:shd w:val="clear" w:color="auto" w:fill="auto"/>
          </w:tcPr>
          <w:p w14:paraId="5B39A1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1C514438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14:paraId="11D4AE5F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40A0F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21C15254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6835B14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</w:t>
            </w:r>
          </w:p>
        </w:tc>
        <w:tc>
          <w:tcPr>
            <w:tcW w:w="2052" w:type="dxa"/>
            <w:shd w:val="clear" w:color="auto" w:fill="auto"/>
          </w:tcPr>
          <w:p w14:paraId="6FD0C667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26C1BA3C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14:paraId="0F68F822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5861A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3D0E49E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4B652E39">
            <w:pPr>
              <w:widowControl w:val="0"/>
              <w:suppressAutoHyphens/>
              <w:autoSpaceDE w:val="0"/>
              <w:autoSpaceDN w:val="0"/>
              <w:adjustRightInd w:val="0"/>
              <w:spacing w:line="228" w:lineRule="auto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052" w:type="dxa"/>
            <w:shd w:val="clear" w:color="auto" w:fill="auto"/>
          </w:tcPr>
          <w:p w14:paraId="34EACF47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19EECE99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14:paraId="21FAC96A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6EB6C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675593DF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005E24A2">
            <w:pPr>
              <w:widowControl w:val="0"/>
              <w:suppressAutoHyphens/>
              <w:autoSpaceDE w:val="0"/>
              <w:autoSpaceDN w:val="0"/>
              <w:adjustRightInd w:val="0"/>
              <w:spacing w:line="228" w:lineRule="auto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 </w:t>
            </w:r>
          </w:p>
        </w:tc>
        <w:tc>
          <w:tcPr>
            <w:tcW w:w="2052" w:type="dxa"/>
            <w:shd w:val="clear" w:color="auto" w:fill="auto"/>
          </w:tcPr>
          <w:p w14:paraId="62ABC68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7E1139F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14:paraId="782812B6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14:paraId="0B5D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0" w:type="dxa"/>
            <w:gridSpan w:val="5"/>
            <w:shd w:val="clear" w:color="auto" w:fill="auto"/>
          </w:tcPr>
          <w:p w14:paraId="62FFFA6C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hint="default" w:eastAsia="Lucida Sans Unicode"/>
                <w:b/>
                <w:bCs/>
                <w:kern w:val="1"/>
                <w:sz w:val="24"/>
                <w:szCs w:val="24"/>
                <w:lang w:val="ru-RU"/>
              </w:rPr>
              <w:t>7.</w:t>
            </w:r>
            <w:r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Антикоррупционное просвещение</w:t>
            </w:r>
          </w:p>
        </w:tc>
      </w:tr>
      <w:tr w14:paraId="35CB0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shd w:val="clear" w:color="auto" w:fill="auto"/>
          </w:tcPr>
          <w:p w14:paraId="1B80F194">
            <w:pPr>
              <w:widowControl w:val="0"/>
              <w:numPr>
                <w:ilvl w:val="0"/>
                <w:numId w:val="1"/>
              </w:numPr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14:paraId="54D927F3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2052" w:type="dxa"/>
            <w:shd w:val="clear" w:color="auto" w:fill="auto"/>
          </w:tcPr>
          <w:p w14:paraId="14C92C42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коррупции, 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14:paraId="1DB09522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Информирование населения о работе комиссии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14:paraId="79F7C614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</w:tbl>
    <w:p w14:paraId="058319DA">
      <w:pPr>
        <w:jc w:val="both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851" w:right="851" w:bottom="1134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180255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C0173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7330D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60B8B2"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0C1C21"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693F6A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1A69B1"/>
    <w:multiLevelType w:val="multilevel"/>
    <w:tmpl w:val="141A69B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F18"/>
    <w:rsid w:val="00005C27"/>
    <w:rsid w:val="00011735"/>
    <w:rsid w:val="00013EAB"/>
    <w:rsid w:val="00015DD7"/>
    <w:rsid w:val="00030850"/>
    <w:rsid w:val="000C7ADD"/>
    <w:rsid w:val="000D5AE4"/>
    <w:rsid w:val="000F7EA2"/>
    <w:rsid w:val="00114ED6"/>
    <w:rsid w:val="00134833"/>
    <w:rsid w:val="001B1D67"/>
    <w:rsid w:val="001C6278"/>
    <w:rsid w:val="001D6D52"/>
    <w:rsid w:val="001E76C8"/>
    <w:rsid w:val="00210FAC"/>
    <w:rsid w:val="00243292"/>
    <w:rsid w:val="00256790"/>
    <w:rsid w:val="0029545C"/>
    <w:rsid w:val="002B177E"/>
    <w:rsid w:val="002E2BDB"/>
    <w:rsid w:val="00316BEE"/>
    <w:rsid w:val="003336C3"/>
    <w:rsid w:val="00344F50"/>
    <w:rsid w:val="003557EB"/>
    <w:rsid w:val="00364819"/>
    <w:rsid w:val="003D0EB3"/>
    <w:rsid w:val="004052C0"/>
    <w:rsid w:val="00417728"/>
    <w:rsid w:val="00437BC4"/>
    <w:rsid w:val="004832DE"/>
    <w:rsid w:val="004A49EA"/>
    <w:rsid w:val="004A6BCA"/>
    <w:rsid w:val="004A7F51"/>
    <w:rsid w:val="004B18B1"/>
    <w:rsid w:val="00514355"/>
    <w:rsid w:val="00542B07"/>
    <w:rsid w:val="00561CC5"/>
    <w:rsid w:val="0058060C"/>
    <w:rsid w:val="00593C24"/>
    <w:rsid w:val="005E49A3"/>
    <w:rsid w:val="006225F2"/>
    <w:rsid w:val="00625CE2"/>
    <w:rsid w:val="00637058"/>
    <w:rsid w:val="006645AF"/>
    <w:rsid w:val="00697DFE"/>
    <w:rsid w:val="006A7123"/>
    <w:rsid w:val="006A7CCD"/>
    <w:rsid w:val="006B5195"/>
    <w:rsid w:val="006C1962"/>
    <w:rsid w:val="006C6E91"/>
    <w:rsid w:val="006D5116"/>
    <w:rsid w:val="00741DE2"/>
    <w:rsid w:val="00747A7B"/>
    <w:rsid w:val="007636F7"/>
    <w:rsid w:val="007C63FC"/>
    <w:rsid w:val="00803F18"/>
    <w:rsid w:val="008112D2"/>
    <w:rsid w:val="00891809"/>
    <w:rsid w:val="008973C1"/>
    <w:rsid w:val="008D315C"/>
    <w:rsid w:val="008F5D0B"/>
    <w:rsid w:val="009122D3"/>
    <w:rsid w:val="00916C71"/>
    <w:rsid w:val="00932B14"/>
    <w:rsid w:val="009611FE"/>
    <w:rsid w:val="009A0CC5"/>
    <w:rsid w:val="009C331F"/>
    <w:rsid w:val="009F2C89"/>
    <w:rsid w:val="00A16EC0"/>
    <w:rsid w:val="00A259B8"/>
    <w:rsid w:val="00A62B88"/>
    <w:rsid w:val="00A65BF0"/>
    <w:rsid w:val="00AB56DE"/>
    <w:rsid w:val="00AE3682"/>
    <w:rsid w:val="00AE63B4"/>
    <w:rsid w:val="00B13747"/>
    <w:rsid w:val="00B5317E"/>
    <w:rsid w:val="00BE5DD3"/>
    <w:rsid w:val="00C102FF"/>
    <w:rsid w:val="00CC12E5"/>
    <w:rsid w:val="00CC3DD8"/>
    <w:rsid w:val="00CD6019"/>
    <w:rsid w:val="00CF3E1F"/>
    <w:rsid w:val="00CF690E"/>
    <w:rsid w:val="00D37C17"/>
    <w:rsid w:val="00D6192A"/>
    <w:rsid w:val="00D724DF"/>
    <w:rsid w:val="00D7468F"/>
    <w:rsid w:val="00D74C18"/>
    <w:rsid w:val="00DB55BB"/>
    <w:rsid w:val="00DE333C"/>
    <w:rsid w:val="00DF02C4"/>
    <w:rsid w:val="00E472BF"/>
    <w:rsid w:val="00E64056"/>
    <w:rsid w:val="00EA478A"/>
    <w:rsid w:val="00EC382F"/>
    <w:rsid w:val="00ED7611"/>
    <w:rsid w:val="00F1709A"/>
    <w:rsid w:val="00F82FA7"/>
    <w:rsid w:val="00F971D5"/>
    <w:rsid w:val="00FF71DB"/>
    <w:rsid w:val="03867967"/>
    <w:rsid w:val="3AB80E1B"/>
    <w:rsid w:val="407F0860"/>
    <w:rsid w:val="40D23F45"/>
    <w:rsid w:val="49893F45"/>
    <w:rsid w:val="505B6D47"/>
    <w:rsid w:val="5627286B"/>
    <w:rsid w:val="62860D88"/>
    <w:rsid w:val="793E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spacing w:line="360" w:lineRule="auto"/>
      <w:jc w:val="center"/>
      <w:outlineLvl w:val="0"/>
    </w:pPr>
    <w:rPr>
      <w:b/>
      <w:sz w:val="28"/>
    </w:rPr>
  </w:style>
  <w:style w:type="paragraph" w:styleId="3">
    <w:name w:val="heading 4"/>
    <w:basedOn w:val="1"/>
    <w:next w:val="1"/>
    <w:link w:val="12"/>
    <w:qFormat/>
    <w:uiPriority w:val="0"/>
    <w:pPr>
      <w:keepNext/>
      <w:ind w:left="-397"/>
      <w:jc w:val="center"/>
      <w:outlineLvl w:val="3"/>
    </w:pPr>
    <w:rPr>
      <w:b/>
      <w:sz w:val="72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677"/>
        <w:tab w:val="right" w:pos="9355"/>
      </w:tabs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677"/>
        <w:tab w:val="right" w:pos="9355"/>
      </w:tabs>
    </w:p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10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customStyle="1" w:styleId="12">
    <w:name w:val="Заголовок 4 Знак"/>
    <w:basedOn w:val="4"/>
    <w:link w:val="3"/>
    <w:qFormat/>
    <w:uiPriority w:val="0"/>
    <w:rPr>
      <w:rFonts w:ascii="Times New Roman" w:hAnsi="Times New Roman" w:eastAsia="Times New Roman" w:cs="Times New Roman"/>
      <w:b/>
      <w:sz w:val="72"/>
      <w:szCs w:val="20"/>
      <w:lang w:eastAsia="ru-RU"/>
    </w:rPr>
  </w:style>
  <w:style w:type="character" w:customStyle="1" w:styleId="13">
    <w:name w:val="Верхний колонтитул Знак"/>
    <w:basedOn w:val="4"/>
    <w:link w:val="7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"/>
    <w:basedOn w:val="4"/>
    <w:link w:val="8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paragraph" w:customStyle="1" w:styleId="16">
    <w:name w:val="conspluscel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1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table" w:customStyle="1" w:styleId="18">
    <w:name w:val="Сетка таблицы1"/>
    <w:basedOn w:val="5"/>
    <w:qFormat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Текст выноски Знак"/>
    <w:basedOn w:val="4"/>
    <w:link w:val="6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8</Pages>
  <Words>1997</Words>
  <Characters>11385</Characters>
  <Lines>94</Lines>
  <Paragraphs>26</Paragraphs>
  <TotalTime>218</TotalTime>
  <ScaleCrop>false</ScaleCrop>
  <LinksUpToDate>false</LinksUpToDate>
  <CharactersWithSpaces>13356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2023-09-18T04:03:00Z</dcterms:created>
  <dc:creator>Екатерина</dc:creator>
  <cp:lastModifiedBy>nkcson</cp:lastModifiedBy>
  <cp:lastPrinted>2022-06-27T09:46:00Z</cp:lastPrinted>
  <dcterms:modified xsi:type="dcterms:W3CDTF">2025-01-28T09:47:52Z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7C29B52A02774A5A810B9446867AB40F_12</vt:lpwstr>
  </property>
</Properties>
</file>