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center"/>
        <w:rPr>
          <w:rFonts w:ascii="Liberation Serif;Times New Roman" w:hAnsi="Liberation Serif;Times New Roman" w:cs="Liberation Serif;Times New Roman"/>
          <w:b/>
          <w:b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28"/>
        </w:rPr>
        <w:t>Министерство социальной политики Свердловской области</w:t>
      </w:r>
    </w:p>
    <w:p>
      <w:pPr>
        <w:pStyle w:val="Normal"/>
        <w:suppressAutoHyphens w:val="false"/>
        <w:jc w:val="center"/>
        <w:rPr>
          <w:rFonts w:ascii="Liberation Serif;Times New Roman" w:hAnsi="Liberation Serif;Times New Roman" w:cs="Liberation Serif;Times New Roman"/>
          <w:b/>
          <w:b/>
          <w:sz w:val="27"/>
          <w:szCs w:val="27"/>
        </w:rPr>
      </w:pPr>
      <w:r>
        <w:rPr>
          <w:rFonts w:cs="Liberation Serif;Times New Roman" w:ascii="Liberation Serif;Times New Roman" w:hAnsi="Liberation Serif;Times New Roman"/>
          <w:b/>
          <w:sz w:val="27"/>
          <w:szCs w:val="27"/>
        </w:rPr>
        <w:t>Территориальный отраслевой  исполнительный орган  государственной власти Свердловской области – Управление социальной политики</w:t>
      </w:r>
    </w:p>
    <w:p>
      <w:pPr>
        <w:pStyle w:val="Normal"/>
        <w:suppressAutoHyphens w:val="false"/>
        <w:jc w:val="center"/>
        <w:rPr>
          <w:rFonts w:ascii="Liberation Serif;Times New Roman" w:hAnsi="Liberation Serif;Times New Roman" w:cs="Liberation Serif;Times New Roman"/>
          <w:b/>
          <w:b/>
          <w:sz w:val="27"/>
          <w:szCs w:val="27"/>
        </w:rPr>
      </w:pPr>
      <w:r>
        <w:rPr>
          <w:rFonts w:cs="Liberation Serif;Times New Roman" w:ascii="Liberation Serif;Times New Roman" w:hAnsi="Liberation Serif;Times New Roman"/>
          <w:b/>
          <w:sz w:val="27"/>
          <w:szCs w:val="27"/>
        </w:rPr>
        <w:t>Министерства  социальной политики Свердловской области №3</w:t>
      </w:r>
    </w:p>
    <w:p>
      <w:pPr>
        <w:pStyle w:val="Normal"/>
        <w:suppressAutoHyphens w:val="false"/>
        <w:jc w:val="center"/>
        <w:rPr>
          <w:rFonts w:ascii="Liberation Serif;Times New Roman" w:hAnsi="Liberation Serif;Times New Roman" w:cs="Liberation Serif;Times New Roman"/>
          <w:b/>
          <w:b/>
          <w:sz w:val="10"/>
          <w:szCs w:val="10"/>
        </w:rPr>
      </w:pPr>
      <w:r>
        <w:rPr>
          <w:rFonts w:cs="Liberation Serif;Times New Roman" w:ascii="Liberation Serif;Times New Roman" w:hAnsi="Liberation Serif;Times New Roman"/>
          <w:b/>
          <w:sz w:val="10"/>
          <w:szCs w:val="10"/>
        </w:rPr>
      </w:r>
    </w:p>
    <w:p>
      <w:pPr>
        <w:pStyle w:val="Normal"/>
        <w:suppressAutoHyphens w:val="false"/>
        <w:jc w:val="center"/>
        <w:rPr>
          <w:rFonts w:ascii="Liberation Serif;Times New Roman" w:hAnsi="Liberation Serif;Times New Roman" w:cs="Liberation Serif;Times New Roman"/>
          <w:b/>
          <w:b/>
          <w:sz w:val="6"/>
          <w:szCs w:val="6"/>
        </w:rPr>
      </w:pPr>
      <w:r>
        <w:rPr>
          <w:rFonts w:cs="Liberation Serif;Times New Roman" w:ascii="Liberation Serif;Times New Roman" w:hAnsi="Liberation Serif;Times New Roman"/>
          <w:b/>
          <w:sz w:val="6"/>
          <w:szCs w:val="6"/>
        </w:rPr>
      </w:r>
    </w:p>
    <w:p>
      <w:pPr>
        <w:pStyle w:val="Normal"/>
        <w:suppressAutoHyphens w:val="false"/>
        <w:spacing w:lineRule="auto" w:line="360"/>
        <w:jc w:val="center"/>
        <w:rPr/>
      </w:pPr>
      <w:r>
        <w:rPr>
          <w:rFonts w:cs="Liberation Serif;Times New Roman" w:ascii="Liberation Serif;Times New Roman" w:hAnsi="Liberation Serif;Times New Roman"/>
          <w:b/>
          <w:sz w:val="30"/>
          <w:szCs w:val="30"/>
        </w:rPr>
        <w:t>ПРИКАЗ</w:t>
      </w:r>
      <w:r>
        <w:rPr>
          <w:rFonts w:cs="Liberation Serif;Times New Roman" w:ascii="Liberation Serif;Times New Roman" w:hAnsi="Liberation Serif;Times New Roman"/>
          <w:b/>
          <w:sz w:val="28"/>
          <w:szCs w:val="28"/>
        </w:rPr>
        <w:t xml:space="preserve">     </w:t>
      </w:r>
    </w:p>
    <w:p>
      <w:pPr>
        <w:pStyle w:val="Normal"/>
        <w:tabs>
          <w:tab w:val="clear" w:pos="708"/>
          <w:tab w:val="left" w:pos="2160" w:leader="none"/>
        </w:tabs>
        <w:suppressAutoHyphens w:val="false"/>
        <w:rPr/>
      </w:pPr>
      <w:r>
        <w:rPr>
          <w:rFonts w:cs="Liberation Serif;Times New Roman" w:ascii="Liberation Serif;Times New Roman" w:hAnsi="Liberation Serif;Times New Roman"/>
          <w:sz w:val="28"/>
          <w:szCs w:val="24"/>
        </w:rPr>
        <w:t>______________.</w:t>
      </w:r>
      <w:bookmarkStart w:id="0" w:name="WWSetBkmk1"/>
      <w:r>
        <w:rPr>
          <w:rFonts w:cs="Liberation Serif;Times New Roman"/>
          <w:sz w:val="28"/>
          <w:szCs w:val="24"/>
          <w:highlight w:val="yellow"/>
        </w:rPr>
        <w:fldChar w:fldCharType="begin"/>
      </w:r>
      <w:r>
        <w:rPr>
          <w:sz w:val="28"/>
          <w:szCs w:val="24"/>
          <w:highlight w:val="yellow"/>
          <w:rFonts w:cs="Liberation Serif;Times New Roman"/>
        </w:rPr>
        <w:instrText xml:space="preserve"> ASK "Дата"  \d </w:instrText>
      </w:r>
      <w:r>
        <w:rPr>
          <w:sz w:val="28"/>
          <w:szCs w:val="24"/>
          <w:highlight w:val="yellow"/>
          <w:rFonts w:cs="Liberation Serif;Times New Roman"/>
        </w:rPr>
        <w:fldChar w:fldCharType="separate"/>
      </w:r>
      <w:bookmarkStart w:id="1" w:name="Дата"/>
      <w:r>
        <w:rPr>
          <w:sz w:val="28"/>
          <w:szCs w:val="24"/>
          <w:highlight w:val="yellow"/>
          <w:rFonts w:cs="Liberation Serif;Times New Roman"/>
        </w:rPr>
      </w:r>
      <w:bookmarkEnd w:id="1"/>
      <w:r>
        <w:rPr>
          <w:sz w:val="28"/>
          <w:szCs w:val="24"/>
          <w:highlight w:val="yellow"/>
          <w:rFonts w:cs="Liberation Serif;Times New Roman"/>
        </w:rPr>
        <w:fldChar w:fldCharType="end"/>
      </w:r>
      <w:bookmarkEnd w:id="0"/>
      <w:r>
        <w:rPr>
          <w:rFonts w:cs="Liberation Serif;Times New Roman" w:ascii="Liberation Serif;Times New Roman" w:hAnsi="Liberation Serif;Times New Roman"/>
          <w:sz w:val="28"/>
          <w:szCs w:val="24"/>
        </w:rPr>
        <w:t xml:space="preserve">                                                                             </w:t>
        <w:tab/>
        <w:t xml:space="preserve">         № _____</w:t>
      </w:r>
    </w:p>
    <w:p>
      <w:pPr>
        <w:pStyle w:val="Normal"/>
        <w:tabs>
          <w:tab w:val="clear" w:pos="708"/>
          <w:tab w:val="left" w:pos="2160" w:leader="none"/>
        </w:tabs>
        <w:suppressAutoHyphens w:val="false"/>
        <w:jc w:val="center"/>
        <w:rPr>
          <w:rFonts w:ascii="Liberation Serif;Times New Roman" w:hAnsi="Liberation Serif;Times New Roman" w:cs="Liberation Serif;Times New Roman"/>
          <w:sz w:val="25"/>
          <w:szCs w:val="25"/>
        </w:rPr>
      </w:pPr>
      <w:r>
        <w:rPr>
          <w:rFonts w:cs="Liberation Serif;Times New Roman" w:ascii="Liberation Serif;Times New Roman" w:hAnsi="Liberation Serif;Times New Roman"/>
          <w:sz w:val="25"/>
          <w:szCs w:val="25"/>
        </w:rPr>
        <w:t>г. Красноуфимск</w:t>
      </w:r>
    </w:p>
    <w:p>
      <w:pPr>
        <w:pStyle w:val="Normal"/>
        <w:rPr>
          <w:rFonts w:ascii="Liberation Serif;Times New Roman" w:hAnsi="Liberation Serif;Times New Roman" w:cs="Liberation Serif;Times New Roman"/>
          <w:sz w:val="25"/>
          <w:szCs w:val="25"/>
        </w:rPr>
      </w:pPr>
      <w:r>
        <w:rPr>
          <w:rFonts w:cs="Liberation Serif;Times New Roman" w:ascii="Liberation Serif;Times New Roman" w:hAnsi="Liberation Serif;Times New Roman"/>
          <w:sz w:val="25"/>
          <w:szCs w:val="25"/>
        </w:rPr>
      </w:r>
    </w:p>
    <w:tbl>
      <w:tblPr>
        <w:tblW w:w="963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9"/>
      </w:tblGrid>
      <w:tr>
        <w:trPr/>
        <w:tc>
          <w:tcPr>
            <w:tcW w:w="9639" w:type="dxa"/>
            <w:tcBorders/>
          </w:tcPr>
          <w:p>
            <w:pPr>
              <w:pStyle w:val="Normal"/>
              <w:ind w:left="0" w:right="93" w:hanging="0"/>
              <w:jc w:val="center"/>
              <w:rPr>
                <w:rFonts w:ascii="Liberation Serif;Times New Roman" w:hAnsi="Liberation Serif;Times New Roman" w:cs="Liberation Serif;Times New Roman"/>
                <w:b/>
                <w:b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sz w:val="28"/>
                <w:szCs w:val="28"/>
              </w:rPr>
              <w:t xml:space="preserve">О мерах по минимизации коррупционных рисков </w:t>
            </w:r>
          </w:p>
          <w:p>
            <w:pPr>
              <w:pStyle w:val="Normal"/>
              <w:ind w:left="0" w:right="93" w:hanging="0"/>
              <w:jc w:val="center"/>
              <w:rPr>
                <w:rFonts w:ascii="Liberation Serif;Times New Roman" w:hAnsi="Liberation Serif;Times New Roman" w:cs="Liberation Serif;Times New Roman"/>
                <w:b/>
                <w:b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sz w:val="28"/>
                <w:szCs w:val="28"/>
              </w:rPr>
              <w:t xml:space="preserve">при осуществлении коррупционно-опасных функций </w:t>
            </w:r>
          </w:p>
          <w:p>
            <w:pPr>
              <w:pStyle w:val="Normal"/>
              <w:ind w:left="0" w:right="93" w:hanging="0"/>
              <w:jc w:val="center"/>
              <w:rPr>
                <w:rFonts w:ascii="Liberation Serif;Times New Roman" w:hAnsi="Liberation Serif;Times New Roman" w:cs="Liberation Serif;Times New Roman"/>
                <w:b/>
                <w:b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sz w:val="28"/>
                <w:szCs w:val="28"/>
              </w:rPr>
      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 № 3</w:t>
            </w:r>
          </w:p>
        </w:tc>
      </w:tr>
    </w:tbl>
    <w:p>
      <w:pPr>
        <w:pStyle w:val="ConsPlusNormal"/>
        <w:widowControl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 xml:space="preserve">В </w:t>
      </w:r>
      <w:bookmarkStart w:id="2" w:name="_Hlk50448316"/>
      <w:r>
        <w:rPr>
          <w:rFonts w:cs="Liberation Serif;Times New Roman" w:ascii="Liberation Serif;Times New Roman" w:hAnsi="Liberation Serif;Times New Roman"/>
          <w:sz w:val="28"/>
          <w:szCs w:val="28"/>
        </w:rPr>
        <w:t>целях предупреждения коррупционных и иных правонарушений, создающих условия для совершения коррупционных правонарушений, обеспечения добросовестности, открытости и объективности при осуществлении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 № 3, руководствуясь Федеральным законом от 25 декабря 2008 года № 273-ФЗ «О противодействии коррупции»</w:t>
      </w:r>
    </w:p>
    <w:p>
      <w:pPr>
        <w:pStyle w:val="Normal"/>
        <w:ind w:left="0" w:right="0" w:firstLine="709"/>
        <w:jc w:val="both"/>
        <w:rPr/>
      </w:pPr>
      <w:r>
        <w:rPr/>
      </w:r>
    </w:p>
    <w:p>
      <w:pPr>
        <w:pStyle w:val="Normal"/>
        <w:jc w:val="both"/>
        <w:rPr>
          <w:rFonts w:ascii="Liberation Serif;Times New Roman" w:hAnsi="Liberation Serif;Times New Roman" w:cs="Liberation Serif;Times New Roman"/>
          <w:b/>
          <w:b/>
          <w:sz w:val="28"/>
          <w:szCs w:val="28"/>
        </w:rPr>
      </w:pPr>
      <w:bookmarkEnd w:id="2"/>
      <w:r>
        <w:rPr>
          <w:rFonts w:cs="Liberation Serif;Times New Roman" w:ascii="Liberation Serif;Times New Roman" w:hAnsi="Liberation Serif;Times New Roman"/>
          <w:b/>
          <w:sz w:val="28"/>
          <w:szCs w:val="28"/>
        </w:rPr>
        <w:t>ПРИКАЗЫВАЮ:</w:t>
      </w:r>
    </w:p>
    <w:p>
      <w:pPr>
        <w:pStyle w:val="Style28"/>
        <w:widowControl/>
        <w:tabs>
          <w:tab w:val="clear" w:pos="708"/>
          <w:tab w:val="left" w:pos="738" w:leader="none"/>
          <w:tab w:val="left" w:pos="993" w:leader="none"/>
        </w:tabs>
        <w:suppressAutoHyphens w:val="true"/>
        <w:bidi w:val="0"/>
        <w:ind w:left="0" w:right="0" w:firstLine="624"/>
        <w:jc w:val="both"/>
        <w:rPr/>
      </w:pPr>
      <w:r>
        <w:rPr>
          <w:rFonts w:cs="Liberation Serif;Times New Roman" w:ascii="Liberation Serif;Times New Roman" w:hAnsi="Liberation Serif;Times New Roman"/>
        </w:rPr>
        <w:t>1. Утвердить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 xml:space="preserve"> карту коррупционных рисков и мер по их минимизации при осуществлении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 № 3 (далее — Управление социальной политики № 3) (прилагается).</w:t>
      </w:r>
    </w:p>
    <w:p>
      <w:pPr>
        <w:pStyle w:val="Normal"/>
        <w:tabs>
          <w:tab w:val="clear" w:pos="708"/>
          <w:tab w:val="left" w:pos="993" w:leader="none"/>
        </w:tabs>
        <w:ind w:left="0" w:right="0" w:firstLine="709"/>
        <w:jc w:val="both"/>
        <w:rPr>
          <w:rFonts w:ascii="Liberation Serif;Times New Roman" w:hAnsi="Liberation Serif;Times New Roman" w:cs="Liberation Serif;Times New Roman"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>2. Заместителям начальника Управления социальной политики № 3, главному специалисту Управления социальной политики № 3 Е.Н.Воробьевой, руководителям структурных подразделений и гражданским служащим  Управления социальной политики № 3, участвующим в осуществлении коррупционно-опасных функций Управления социальной политики №3, обеспечить реализацию мер, направленных на минимизацию коррупционных рисков, возникающих при осуществлении коррупционно-опасных функций Управления социальной политики № 3.</w:t>
      </w:r>
    </w:p>
    <w:p>
      <w:pPr>
        <w:pStyle w:val="Normal"/>
        <w:tabs>
          <w:tab w:val="clear" w:pos="708"/>
          <w:tab w:val="left" w:pos="993" w:leader="none"/>
        </w:tabs>
        <w:ind w:left="0" w:right="0" w:firstLine="709"/>
        <w:jc w:val="both"/>
        <w:rPr/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>3. Главному специалисту Воробьевой Е.Н. ознакомить гражданских служащих и работников Управления социальной политики № 3 с настоящим приказом под подпись.</w:t>
      </w:r>
    </w:p>
    <w:p>
      <w:pPr>
        <w:pStyle w:val="Normal"/>
        <w:ind w:left="0" w:right="0" w:firstLine="708"/>
        <w:jc w:val="both"/>
        <w:rPr/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>4. Приказ от 27.06.2024 № 72 «О мерах по минимизации коррупционных рисков при осуществлении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 № 3», признать утратившим силу.</w:t>
      </w:r>
    </w:p>
    <w:p>
      <w:pPr>
        <w:pStyle w:val="Normal"/>
        <w:jc w:val="both"/>
        <w:rPr/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ab/>
        <w:t>5. Настоящий приказ опубликовать на «Официальном интернет-портале правовой информации</w:t>
      </w:r>
      <w:r>
        <w:rPr>
          <w:rFonts w:cs="Liberation Serif;Times New Roman" w:ascii="Liberation Serif;Times New Roman" w:hAnsi="Liberation Serif;Times New Roman"/>
          <w:sz w:val="28"/>
          <w:szCs w:val="28"/>
          <w:lang w:val="en-US"/>
        </w:rPr>
        <w:t> 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>Свердловской</w:t>
      </w:r>
      <w:r>
        <w:rPr>
          <w:rFonts w:cs="Liberation Serif;Times New Roman" w:ascii="Liberation Serif;Times New Roman" w:hAnsi="Liberation Serif;Times New Roman"/>
          <w:sz w:val="28"/>
          <w:szCs w:val="28"/>
          <w:lang w:val="en-US"/>
        </w:rPr>
        <w:t> 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>области»</w:t>
      </w:r>
      <w:r>
        <w:rPr>
          <w:rFonts w:cs="Liberation Serif;Times New Roman" w:ascii="Liberation Serif;Times New Roman" w:hAnsi="Liberation Serif;Times New Roman"/>
          <w:sz w:val="28"/>
          <w:szCs w:val="28"/>
          <w:lang w:val="en-US"/>
        </w:rPr>
        <w:t> </w:t>
      </w:r>
      <w:r>
        <w:rPr>
          <w:rFonts w:cs="Liberation Serif;Times New Roman" w:ascii="Liberation Serif;Times New Roman" w:hAnsi="Liberation Serif;Times New Roman"/>
          <w:color w:val="000000"/>
          <w:sz w:val="28"/>
          <w:szCs w:val="28"/>
        </w:rPr>
        <w:t>(</w:t>
      </w:r>
      <w:hyperlink r:id="rId2">
        <w:r>
          <w:rPr>
            <w:rStyle w:val="Style16"/>
            <w:rFonts w:cs="Liberation Serif;Times New Roman" w:ascii="Liberation Serif;Times New Roman" w:hAnsi="Liberation Serif;Times New Roman"/>
            <w:sz w:val="28"/>
            <w:szCs w:val="28"/>
            <w:lang w:val="en-US"/>
          </w:rPr>
          <w:t>www</w:t>
        </w:r>
        <w:r>
          <w:rPr>
            <w:rStyle w:val="Style16"/>
            <w:rFonts w:cs="Liberation Serif;Times New Roman" w:ascii="Liberation Serif;Times New Roman" w:hAnsi="Liberation Serif;Times New Roman"/>
            <w:sz w:val="28"/>
            <w:szCs w:val="28"/>
          </w:rPr>
          <w:t>.</w:t>
        </w:r>
        <w:r>
          <w:rPr>
            <w:rStyle w:val="Style16"/>
            <w:rFonts w:cs="Liberation Serif;Times New Roman" w:ascii="Liberation Serif;Times New Roman" w:hAnsi="Liberation Serif;Times New Roman"/>
            <w:sz w:val="28"/>
            <w:szCs w:val="28"/>
            <w:lang w:val="en-US"/>
          </w:rPr>
          <w:t>pr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  <w:lang w:val="en-US"/>
          </w:rPr>
          <w:t>HYPERLINK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</w:rPr>
          <w:t>"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  <w:lang w:val="en-US"/>
          </w:rPr>
          <w:t>http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</w:rPr>
          <w:t>://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  <w:lang w:val="en-US"/>
          </w:rPr>
          <w:t>www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</w:rPr>
          <w:t>.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  <w:lang w:val="en-US"/>
          </w:rPr>
          <w:t>pravo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</w:rPr>
          <w:t>.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  <w:lang w:val="en-US"/>
          </w:rPr>
          <w:t>gov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</w:rPr>
          <w:t>66.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  <w:lang w:val="en-US"/>
          </w:rPr>
          <w:t>ru</w:t>
        </w:r>
        <w:r>
          <w:rPr>
            <w:rStyle w:val="Style16"/>
            <w:rFonts w:cs="Liberation Serif;Times New Roman" w:ascii="Liberation Serif;Times New Roman" w:hAnsi="Liberation Serif;Times New Roman"/>
            <w:vanish/>
            <w:sz w:val="28"/>
            <w:szCs w:val="28"/>
          </w:rPr>
          <w:t>/"</w:t>
        </w:r>
        <w:r>
          <w:rPr>
            <w:rStyle w:val="Style16"/>
            <w:rFonts w:cs="Liberation Serif;Times New Roman" w:ascii="Liberation Serif;Times New Roman" w:hAnsi="Liberation Serif;Times New Roman"/>
            <w:sz w:val="28"/>
            <w:szCs w:val="28"/>
            <w:lang w:val="en-US"/>
          </w:rPr>
          <w:t>avo</w:t>
        </w:r>
        <w:r>
          <w:rPr>
            <w:rStyle w:val="Style16"/>
            <w:rFonts w:cs="Liberation Serif;Times New Roman" w:ascii="Liberation Serif;Times New Roman" w:hAnsi="Liberation Serif;Times New Roman"/>
            <w:sz w:val="28"/>
            <w:szCs w:val="28"/>
          </w:rPr>
          <w:t>.</w:t>
        </w:r>
        <w:r>
          <w:rPr>
            <w:rStyle w:val="Style16"/>
            <w:rFonts w:cs="Liberation Serif;Times New Roman" w:ascii="Liberation Serif;Times New Roman" w:hAnsi="Liberation Serif;Times New Roman"/>
            <w:sz w:val="28"/>
            <w:szCs w:val="28"/>
            <w:lang w:val="en-US"/>
          </w:rPr>
          <w:t>gov</w:t>
        </w:r>
        <w:r>
          <w:rPr>
            <w:rStyle w:val="Style16"/>
            <w:rFonts w:cs="Liberation Serif;Times New Roman" w:ascii="Liberation Serif;Times New Roman" w:hAnsi="Liberation Serif;Times New Roman"/>
            <w:sz w:val="28"/>
            <w:szCs w:val="28"/>
          </w:rPr>
          <w:t>66.</w:t>
        </w:r>
        <w:r>
          <w:rPr>
            <w:rStyle w:val="Style16"/>
            <w:rFonts w:cs="Liberation Serif;Times New Roman" w:ascii="Liberation Serif;Times New Roman" w:hAnsi="Liberation Serif;Times New Roman"/>
            <w:sz w:val="28"/>
            <w:szCs w:val="28"/>
            <w:lang w:val="en-US"/>
          </w:rPr>
          <w:t>ru</w:t>
        </w:r>
      </w:hyperlink>
      <w:r>
        <w:rPr>
          <w:rFonts w:cs="Liberation Serif;Times New Roman" w:ascii="Liberation Serif;Times New Roman" w:hAnsi="Liberation Serif;Times New Roman"/>
          <w:color w:val="000000"/>
          <w:sz w:val="28"/>
          <w:szCs w:val="28"/>
        </w:rPr>
        <w:t>).</w:t>
      </w:r>
    </w:p>
    <w:p>
      <w:pPr>
        <w:pStyle w:val="Normal"/>
        <w:jc w:val="both"/>
        <w:rPr/>
      </w:pPr>
      <w:r>
        <w:rPr/>
        <w:tab/>
      </w:r>
    </w:p>
    <w:p>
      <w:pPr>
        <w:pStyle w:val="Normal"/>
        <w:tabs>
          <w:tab w:val="clear" w:pos="708"/>
          <w:tab w:val="left" w:pos="709" w:leader="none"/>
        </w:tabs>
        <w:suppressAutoHyphens w:val="false"/>
        <w:jc w:val="both"/>
        <w:rPr/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ab/>
        <w:t xml:space="preserve">6.  Контроль за исполнением настоящего приказа оставляю за собой. </w:t>
      </w:r>
    </w:p>
    <w:p>
      <w:pPr>
        <w:pStyle w:val="Normal"/>
        <w:rPr/>
      </w:pPr>
      <w:r>
        <w:rPr/>
      </w:r>
    </w:p>
    <w:p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>Начальник                                                                                      Т.А. Чухарева</w:t>
      </w:r>
    </w:p>
    <w:p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/>
      </w:r>
    </w:p>
    <w:p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/>
      </w:r>
    </w:p>
    <w:p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/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sectPr>
          <w:headerReference w:type="default" r:id="rId3"/>
          <w:type w:val="nextPage"/>
          <w:pgSz w:w="11906" w:h="16838"/>
          <w:pgMar w:left="1361" w:right="567" w:gutter="0" w:header="426" w:top="1005" w:footer="0" w:bottom="964"/>
          <w:pgNumType w:fmt="decimal"/>
          <w:formProt w:val="false"/>
          <w:titlePg/>
          <w:textDirection w:val="lrTb"/>
          <w:docGrid w:type="default" w:linePitch="360" w:charSpace="0"/>
        </w:sect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/>
      </w:r>
    </w:p>
    <w:p>
      <w:pPr>
        <w:pStyle w:val="Normal"/>
        <w:ind w:right="-235" w:hanging="0"/>
        <w:jc w:val="center"/>
        <w:rPr>
          <w:rFonts w:ascii="Liberation Serif;Times New Roma" w:hAnsi="Liberation Serif;Times New Roma" w:cs="Liberation Serif;Times New Roma"/>
          <w:b/>
          <w:b/>
          <w:sz w:val="28"/>
          <w:szCs w:val="28"/>
        </w:rPr>
      </w:pPr>
      <w:r>
        <w:rPr/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tabs>
          <w:tab w:val="clear" w:pos="708"/>
          <w:tab w:val="left" w:pos="2160" w:leader="none"/>
        </w:tabs>
        <w:ind w:left="4962" w:right="0" w:hanging="0"/>
        <w:rPr>
          <w:rFonts w:ascii="Liberation Serif;Times New Roman" w:hAnsi="Liberation Serif;Times New Roman" w:cs="Liberation Serif;Times New Roman"/>
          <w:b/>
          <w:b/>
          <w:bCs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b/>
          <w:bCs/>
          <w:sz w:val="24"/>
          <w:szCs w:val="24"/>
        </w:rPr>
        <w:tab/>
        <w:t>Утверждено приказом Управления социальной политики № 3</w:t>
      </w:r>
    </w:p>
    <w:p>
      <w:pPr>
        <w:pStyle w:val="Normal"/>
        <w:ind w:left="4956" w:right="0" w:hanging="0"/>
        <w:rPr>
          <w:rFonts w:ascii="Liberation Serif;Times New Roman" w:hAnsi="Liberation Serif;Times New Roman" w:cs="Liberation Serif;Times New Roman"/>
          <w:b/>
          <w:b/>
          <w:bCs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b/>
          <w:bCs/>
          <w:sz w:val="24"/>
          <w:szCs w:val="24"/>
        </w:rPr>
        <w:tab/>
        <w:t>от «___»  __________ 202__ № _____</w:t>
      </w:r>
    </w:p>
    <w:p>
      <w:pPr>
        <w:pStyle w:val="Normal"/>
        <w:ind w:left="4956" w:right="0" w:hanging="0"/>
        <w:rPr>
          <w:rFonts w:ascii="Liberation Serif;Times New Roman" w:hAnsi="Liberation Serif;Times New Roman" w:cs="Liberation Serif;Times New Roman"/>
          <w:b/>
          <w:b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b/>
          <w:sz w:val="24"/>
          <w:szCs w:val="24"/>
        </w:rPr>
        <w:tab/>
        <w:t xml:space="preserve">«О мерах по минимизации коррупционных рисков </w:t>
      </w:r>
    </w:p>
    <w:p>
      <w:pPr>
        <w:pStyle w:val="Normal"/>
        <w:ind w:left="4956" w:right="0" w:hanging="0"/>
        <w:rPr>
          <w:rFonts w:ascii="Liberation Serif;Times New Roman" w:hAnsi="Liberation Serif;Times New Roman" w:cs="Liberation Serif;Times New Roman"/>
          <w:b/>
          <w:b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b/>
          <w:sz w:val="24"/>
          <w:szCs w:val="24"/>
        </w:rPr>
        <w:tab/>
        <w:t xml:space="preserve">при осуществлении коррупционно-опасных функций </w:t>
      </w:r>
    </w:p>
    <w:p>
      <w:pPr>
        <w:pStyle w:val="Normal"/>
        <w:ind w:left="4956" w:right="0" w:hanging="0"/>
        <w:rPr>
          <w:rFonts w:ascii="Liberation Serif;Times New Roman" w:hAnsi="Liberation Serif;Times New Roman" w:cs="Liberation Serif;Times New Roman"/>
          <w:b/>
          <w:b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b/>
          <w:sz w:val="24"/>
          <w:szCs w:val="24"/>
        </w:rPr>
        <w:tab/>
        <w:t xml:space="preserve">территориального отраслевого исполнительного органа государственной власти </w:t>
        <w:tab/>
        <w:t xml:space="preserve">Свердловской области – Управления социальной политики Министерства </w:t>
        <w:tab/>
        <w:t xml:space="preserve">социальной политики Свердловской области № 3» </w:t>
      </w:r>
    </w:p>
    <w:p>
      <w:pPr>
        <w:pStyle w:val="Normal"/>
        <w:ind w:left="4956" w:right="0" w:hanging="0"/>
        <w:jc w:val="both"/>
        <w:rPr>
          <w:rFonts w:ascii="Liberation Serif;Times New Roman" w:hAnsi="Liberation Serif;Times New Roman" w:cs="Liberation Serif;Times New Roman"/>
          <w:b/>
          <w:b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b/>
          <w:sz w:val="24"/>
          <w:szCs w:val="24"/>
        </w:rPr>
        <w:tab/>
        <w:t xml:space="preserve">Одобрено на заседании комиссии Управления социальной политики № 3 по </w:t>
        <w:tab/>
        <w:t xml:space="preserve">соблюдению требований к служебному поведению государственных гражданских </w:t>
        <w:tab/>
        <w:t>служащих и урегулированию конфликта интересов</w:t>
      </w:r>
    </w:p>
    <w:p>
      <w:pPr>
        <w:pStyle w:val="Normal"/>
        <w:ind w:left="4956" w:right="0" w:hanging="0"/>
        <w:jc w:val="both"/>
        <w:rPr>
          <w:rFonts w:ascii="Liberation Serif;Times New Roman" w:hAnsi="Liberation Serif;Times New Roman" w:cs="Liberation Serif;Times New Roman"/>
          <w:b/>
          <w:b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b/>
          <w:sz w:val="24"/>
          <w:szCs w:val="24"/>
        </w:rPr>
        <w:tab/>
        <w:t>(протокол № 1 от 03.10.2024)</w:t>
      </w:r>
    </w:p>
    <w:p>
      <w:pPr>
        <w:pStyle w:val="Normal"/>
        <w:ind w:right="-235" w:hanging="0"/>
        <w:jc w:val="center"/>
        <w:rPr>
          <w:rFonts w:ascii="Liberation Serif;Times New Roma" w:hAnsi="Liberation Serif;Times New Roma" w:cs="Liberation Serif;Times New Roma"/>
          <w:b/>
          <w:b/>
          <w:sz w:val="28"/>
          <w:szCs w:val="28"/>
        </w:rPr>
      </w:pPr>
      <w:r>
        <w:rPr/>
      </w:r>
    </w:p>
    <w:p>
      <w:pPr>
        <w:pStyle w:val="Normal"/>
        <w:ind w:right="-235" w:hanging="0"/>
        <w:jc w:val="center"/>
        <w:rPr>
          <w:rFonts w:ascii="Liberation Serif;Times New Roma" w:hAnsi="Liberation Serif;Times New Roma" w:cs="Liberation Serif;Times New Roma"/>
          <w:b/>
          <w:b/>
          <w:sz w:val="28"/>
          <w:szCs w:val="28"/>
        </w:rPr>
      </w:pPr>
      <w:bookmarkStart w:id="3" w:name="_GoBack"/>
      <w:bookmarkEnd w:id="3"/>
      <w:r>
        <w:rPr>
          <w:rFonts w:cs="Liberation Serif;Times New Roma" w:ascii="Liberation Serif;Times New Roma" w:hAnsi="Liberation Serif;Times New Roma"/>
          <w:b/>
          <w:sz w:val="28"/>
          <w:szCs w:val="28"/>
        </w:rPr>
        <w:t>КАРТА</w:t>
      </w:r>
    </w:p>
    <w:p>
      <w:pPr>
        <w:pStyle w:val="Normal"/>
        <w:ind w:right="-235" w:hanging="0"/>
        <w:jc w:val="center"/>
        <w:rPr>
          <w:rFonts w:ascii="Liberation Serif;Times New Roma" w:hAnsi="Liberation Serif;Times New Roma" w:cs="Liberation Serif;Times New Roma"/>
          <w:b/>
          <w:b/>
          <w:sz w:val="28"/>
          <w:szCs w:val="28"/>
        </w:rPr>
      </w:pPr>
      <w:r>
        <w:rPr>
          <w:rFonts w:cs="Liberation Serif;Times New Roma" w:ascii="Liberation Serif;Times New Roma" w:hAnsi="Liberation Serif;Times New Roma"/>
          <w:b/>
          <w:sz w:val="28"/>
          <w:szCs w:val="28"/>
        </w:rPr>
        <w:t xml:space="preserve">коррупционных рисков и мер по их минимизации при осуществлении </w:t>
        <w:br/>
        <w:t>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 № 3</w:t>
      </w:r>
    </w:p>
    <w:p>
      <w:pPr>
        <w:pStyle w:val="Normal"/>
        <w:ind w:right="-235" w:hanging="0"/>
        <w:jc w:val="both"/>
        <w:rPr>
          <w:rFonts w:ascii="Liberation Serif;Times New Roma" w:hAnsi="Liberation Serif;Times New Roma" w:cs="Liberation Serif;Times New Roma"/>
          <w:b/>
          <w:b/>
          <w:sz w:val="26"/>
          <w:szCs w:val="26"/>
        </w:rPr>
      </w:pPr>
      <w:r>
        <w:rPr>
          <w:rFonts w:cs="Liberation Serif;Times New Roma" w:ascii="Liberation Serif;Times New Roma" w:hAnsi="Liberation Serif;Times New Roma"/>
          <w:b/>
          <w:sz w:val="26"/>
          <w:szCs w:val="26"/>
        </w:rPr>
      </w:r>
    </w:p>
    <w:p>
      <w:pPr>
        <w:pStyle w:val="Normal"/>
        <w:ind w:right="-235" w:hanging="0"/>
        <w:jc w:val="both"/>
        <w:rPr>
          <w:rFonts w:ascii="Liberation Serif;Times New Roma" w:hAnsi="Liberation Serif;Times New Roma" w:cs="Liberation Serif;Times New Roma"/>
          <w:b/>
          <w:b/>
          <w:sz w:val="26"/>
          <w:szCs w:val="26"/>
        </w:rPr>
      </w:pPr>
      <w:r>
        <w:rPr>
          <w:rFonts w:cs="Liberation Serif;Times New Roma" w:ascii="Liberation Serif;Times New Roma" w:hAnsi="Liberation Serif;Times New Roma"/>
          <w:b/>
          <w:sz w:val="26"/>
          <w:szCs w:val="26"/>
        </w:rPr>
      </w:r>
    </w:p>
    <w:tbl>
      <w:tblPr>
        <w:tblW w:w="15161" w:type="dxa"/>
        <w:jc w:val="left"/>
        <w:tblInd w:w="-397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1" w:lastRow="0" w:firstColumn="1" w:lastColumn="0" w:noHBand="0" w:val="04a0"/>
      </w:tblPr>
      <w:tblGrid>
        <w:gridCol w:w="991"/>
        <w:gridCol w:w="2553"/>
        <w:gridCol w:w="2837"/>
        <w:gridCol w:w="2268"/>
        <w:gridCol w:w="3796"/>
        <w:gridCol w:w="2715"/>
      </w:tblGrid>
      <w:tr>
        <w:trPr>
          <w:trHeight w:val="498" w:hRule="atLeast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Номер строки</w:t>
            </w:r>
          </w:p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Коррупционный риск (действие)</w:t>
            </w:r>
          </w:p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Краткое описание возможной коррупционной схемы</w:t>
            </w:r>
          </w:p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6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Меры по минимизации коррупционных рисков</w:t>
            </w:r>
          </w:p>
        </w:tc>
      </w:tr>
      <w:tr>
        <w:trPr>
          <w:trHeight w:val="897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</w:tc>
        <w:tc>
          <w:tcPr>
            <w:tcW w:w="2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8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2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реализуемые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предлагаемые</w:t>
            </w:r>
          </w:p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15159" w:type="dxa"/>
        <w:jc w:val="left"/>
        <w:tblInd w:w="-397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1" w:lastRow="0" w:firstColumn="1" w:lastColumn="0" w:noHBand="0" w:val="04a0"/>
      </w:tblPr>
      <w:tblGrid>
        <w:gridCol w:w="991"/>
        <w:gridCol w:w="2554"/>
        <w:gridCol w:w="2835"/>
        <w:gridCol w:w="2304"/>
        <w:gridCol w:w="3761"/>
        <w:gridCol w:w="2713"/>
      </w:tblGrid>
      <w:tr>
        <w:trPr>
          <w:tblHeader w:val="true"/>
          <w:trHeight w:val="202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jc w:val="center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6</w:t>
            </w:r>
          </w:p>
        </w:tc>
      </w:tr>
      <w:tr>
        <w:trPr>
          <w:trHeight w:val="469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113" w:right="57" w:hanging="0"/>
              <w:jc w:val="both"/>
              <w:rPr>
                <w:rFonts w:ascii="Liberation Serif;Times New Roma" w:hAnsi="Liberation Serif;Times New Roma" w:cs="Liberation Serif;Times New Roma"/>
                <w:sz w:val="22"/>
                <w:szCs w:val="22"/>
                <w:lang w:eastAsia="en-US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Осуществление постоянно, временно или в соответствии со специальными полномочиями функций представителя власти, организационно-распорядительных или административно-хозяйственных функций Управления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Высокая степень свободы принятия решений;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необоснованное затягивание решения вопроса сверх установленных сроков (волокита) при принятии решений, связанных с реализацией прав граждан или юридических лиц;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решение вопроса во внеочередном порядке в отношении отдельного физического или юридического лица при наличии значительного числа  очередных обращений;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предоставление не предусмотренных законом преимуществ (протекционизм, семейственность) для поступления на государственную гражданскую службу;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оказание предпочтения физическим лицам, индивидуальным предпринимателям, юридическим лицам в предоставлении публичных услуг, а также содействие в осуществлении предпринимательской деятельности;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в личных или групповых интересах информации, полученной при выполнении служебных (трудовых) обязанностей, если такая информация не подлежит  официальному распространению.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-информационная открытость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-соблюдение утвержденной антикоррупциооной политики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-перераспределение функций между структурными подразделениями внутри государственного органа —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-введены и расширены процессуальные формы взаимодействия граждан (организаций) и должностных лиц (использование информационных технологий для осуществления служебной деятельности («одно окно», система электронного обмена информацией);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-исключена необходимость личного взаимодействия (общения) должностных лиц с гражданами и организациями (за счет введения Многофункциональных центров предоставления государтсвенных и муниципальных услуг, Единого портала государственных и муниципальных услуг (ЕПГУ) -  информационной системы, обеспечивающей доступ к сведениям о государственных и муниципальных услугах);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-сокращение количества должностных лиц, участвующих в принятии управленческого решения, обеспечивающего реализацию субъективных прав и юридических обязанностей;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-оптимизирован перечень документов (материалов, информации), которые граждане (организации) обязаны предоставить для предоставления государственных услуг и (или) для реализации права;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-установлены и четко регламентированы способы и сроки принятия решений;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-включение должностей гражданских служащих Управления социальной политики,  замещение которых связано с коррупционными рисками, в перечень должностей гражданской службы в Управлении социальной политики, при замещении которых гражданские служащие обязаны предоставлять сведения о доходах, расходах, об имуществе и обязательствах имущественного характера на себя, своих супруги (супруга) и несовершеннолетних детей;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</w:tc>
      </w:tr>
      <w:tr>
        <w:trPr>
          <w:trHeight w:val="469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57" w:right="113" w:hanging="0"/>
              <w:jc w:val="both"/>
              <w:rPr>
                <w:rFonts w:ascii="Liberation Serif;Times New Roma" w:hAnsi="Liberation Serif;Times New Roma" w:cs="Liberation Serif;Times New Roma"/>
                <w:sz w:val="22"/>
                <w:szCs w:val="22"/>
                <w:lang w:eastAsia="en-US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Организация и осуществление закупок товаров, работ, услуг для обеспечения государственных нужд и заключение государственных контрактов, предметом которых являются поставка товаров, выполнение работ, оказание услуг для государственных нужд в установленной сфере деятельности, в том числе для обеспечения нужд Управления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планирование и осуществление закупок для нужд Управления социальной политики с нарушением требований законодательства Российской Федерации и законодательства Свердловской области в сфере закупок и сфере противодействия коррупции;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умышленное включение в документацию об осуществлении закупки, требований и условий, влекущих ограничение количества участников закупки;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-умышленное установление нереальных сроков выполнения работ, оказания услуг, в течение которых невозможно выполнить условия контракта; </w:t>
              <w:br/>
              <w:t>- умышленное установление требований, предполагающих преимущество для определенных участников закупки;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 умышленное включение в документацию об осуществлении закупки объектов закупки, не  соотносимых с целями деятельности и потребностями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, в том числе расходных материалов, комплектующих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к оборудованию, отсутствующему в 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Управлении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,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услуг по техническому обслуживанию и ремонту такого оборудования;</w:t>
              <w:br/>
              <w:t xml:space="preserve">- умышленное включение в документацию об осуществлении закупки объектов закупки в объеме, превышающем годовую потребность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, в интересах определенных участников закупки;</w:t>
              <w:br/>
              <w:t>- умышленное превышение объема финансового обеспечения, запланированного для осуществления закупок товаров, работ, услуг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с опр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еделенными потребительскими свойствами,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 xml:space="preserve">функциональными, техническими, качественными, эксплуатационными характеристиками,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предусмотренных планом-графиком закупок, в интересах определенных участников закупки;</w:t>
              <w:br/>
              <w:t>- умышленное включение в документацию об осуществлении закупки, объектов закупки, не предусмотренных планом-графиком закупок, в интересах определенных участников закупки;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необоснованное завышение (занижение) начальной (максимальной) цены государственного контракта, начальной цены за единицу товара, работы, услуги в интересах определенных участников закупки;</w:t>
              <w:br/>
              <w:t>- умышленное направление запросов в рамках мониторинга цен на товары, работы, услуги одним и тем же юридическим лицам, индивидуальным предпринимателям, в целях завышения (занижения) начальной (максимальной) цены государственного контракта, начальной цены за единицу товара, работы, услуги в интересах определенных участников закупки;</w:t>
              <w:br/>
              <w:t>- умышленное включение в запросы в рамках мониторинга цен на товары, работы, услуги описания объекта закупки, не соответствующего описанию объекта закупки, включаемого в документацию об осуществлении закупки, в целях завышения (занижения) начальной (максимальной) цены государственного контракта, начальной цены за единицу товара, работы, услуги, сокращения числа участников закупки в интересах определенных участников закупки;</w:t>
              <w:br/>
              <w:t>- умышленное превышение объема финансового обеспечения, запланированного для осуществления закупок товаров, работ, услуг, с определенными потребительскими свойствами, функциональными, техническими, качественными, эксплуатационными характеристиками в интересах определенных участников закупки;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умышленное направление запросов в рамках мониторинга цен на товары, работы, услуги, не предусмотренные планом-графиком закупок, в интересах определенных участников закупки;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необоснованное деление закупок на несколько отдельных закупок с целью уклонения от использования конкурентных способов определения поставщика (подрядчика, исполнителя);</w:t>
              <w:br/>
              <w:t>- умышленное неосуществление в течение календарного года закупок  с использованием конкурентных способов определения поставщиков (подрядчиков, исполнителей) с целью осуществления закупок в конце финансового года у единственного поставщика (исполнителя, подрядчика) в интересах определенных участников закупки;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определение поставщика (подрядчика, исполнителя), аффилированного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с гражданскими служащими (работниками)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необоснованное отклонение заявок на участие в закупке, окончательных предложений участников закупки в целях определения поставщика (исполнителя, подрядчика), аффилированного с гражданскими служащими (работниками) Управления социальной политики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-толкование критериев оценки заявок участников закупки в пользу заинтересованных лиц;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заключение государственного контракта без предоставления обеспечения исполнения государственного контракта в случае, если такое требование было установлено документацией об осуществлении закупки (государственным контрактом), в интересах определенных поставщиков (подрядчиков, исполнителей);</w:t>
              <w:br/>
              <w:t>- необоснованное изменение условий государственного контракта в интересах определенных поставщиков (подрядчиков, исполнителей);</w:t>
              <w:br/>
              <w:t xml:space="preserve">- необоснованное изменение сроков приемки поставленных товаров, выполненных работ </w:t>
              <w:br/>
              <w:t>(их результатов), оказанных услуг, в том числе этапов исполнения государственного контракта, в интересах определенных поставщиков (подрядчиков, исполнителей);</w:t>
              <w:br/>
              <w:t>- приемка поставленных товаров, выполненных работ (их результатов), оказанных услуг, не соответствующих условиям государственного контракта, в интересах определенных поставщиков (подрядчиков, исполнителей);</w:t>
              <w:br/>
              <w:t>- подписание актов приемки непоставленных товаров (невыполненных работ, неоказанных услуг);</w:t>
              <w:br/>
              <w:t xml:space="preserve">- сокрытие информации о выявленных нарушениях при исполнении государственного контракта (приемке поставленных товаров, выполненных работ </w:t>
              <w:br/>
              <w:t>(их результатов), оказанных услуг) в интересах определенных поставщиков (подрядчиков, исполнителей);</w:t>
              <w:br/>
              <w:t>- неприменение мер ответственности в случае нарушения поставщиком (подрядчиком, исполнителем) условий государственного контракта в интересах определенных поставщиков (подрядчиков, исполнителей)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-расторжение контракта по соглашению сторон, если  «свой» поставщик не может исполнить контракт, во избежание влечения его в РНП;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Liberation Serif;Times New Roma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Liberation Serif;Times New Roma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 анализ планируемых к закупке (включаемых в план-график закупок) объектов закупок и их обоснованности с учетом целей деятельности и потребностей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, объема финансового обеспечения, запланированного для осуществления закупок товаров, работ, услуг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с опр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еделенными потребительскими свойствами,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функциональными, техническими, качественными, эксплуатационными характеристиками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 соблюдение при формировании плана-графика закупок правил нормирования закупок с учетом приказов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, регламентирующих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 xml:space="preserve">нормативные затраты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для обоснования объектов закупок и ведомственный перечень отдельных видов товаров, работ, услуг, их потребительских свойств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(в том числе качество) и иных характеристик (в том числе предельных цен товаров, работ, услуг) к ним, закупаемых для нужд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;  мониторинг информации в средствах массовой информации, обращениях граждан и организаций, включая сообщения, поступившие посредством телефона доверия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 xml:space="preserve">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для сообщений информации о коррупционных проявлениях, о возможных коррупционных правонарушениях, совершенных гражданскими служащими и работниками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;</w:t>
              <w:br/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 включение должностей гражданских служащих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, участвующих в осуществлении закупок,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в перечень должностей гражданской службы в 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Управлении социальной политики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, при замещении которых гражданские служащие обязаны предоставлять сведения о доходах, расходах, об имуществе и обязательствах имущественного характера, а также сведения о доходах, расходах, об имуществе и обязательствах имущественного характера своих супруги (супруга) и несовершеннолетних детей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;</w:t>
              <w:br/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 ознакомление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гражданских служащих и работников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, участвующих в осуществлении закупок, в том числе членов контрактной службы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, членов комиссии по осуществлению закупок товаров, работ, услуг для нужд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 (далее – лица, участвующие в осуществлении закупок),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за непринятие мер по предотвращению и (или) урегулированию конфликта интересов;</w:t>
              <w:br/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проведение разъяснительной работы с лицами, участвующими в осуществлении закупок, по вопросам:</w:t>
              <w:br/>
              <w:t>*незамедлительного уведомления представителя нанимателя (работодателя)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о склонении к совершению коррупционного правонарушения; </w:t>
              <w:br/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*принятия мер по предотвращению и урегулированию конфликта интересов, в том числе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порядка урегулирования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конфликта интересов (возможности возникновения конфликта интересов),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уведомления представителя нанимателя (работодателя) о возникновении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4" w:name="P123"/>
            <w:bookmarkEnd w:id="4"/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br/>
              <w:t>*рассмотрение типовых ситуаций конфликта интересов при осуществлении закупок и порядка их урегулирования;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использование Информационной системы в сфере закупок Свердловской области для подготовки документации об осуществлении закупки;</w:t>
              <w:br/>
              <w:t>- использование типовых контрактов, разработанных уполномоченными органами;</w:t>
              <w:br/>
              <w:t>анализ выполнения требований к описанию объектов закупки;</w:t>
              <w:br/>
              <w:t xml:space="preserve">- анализ планируемых к закупке объектов закупки и их обоснованности с учетом целей деятельности и потребностей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Управления социальной политики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, объема финансового обеспечения, запланированного для осуществления закупок товаров, работ, услуг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с опр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еделенными потребительскими свойствами,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функциональными, техническими, качественными, эксплуатационными характеристиками,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предусмотренных планом-графиком закупок;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 согласование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документации об осуществлении закупки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(проекта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контракта) с кругом лиц, без участия (согласования) которых не может быть принято решение об осуществлении закупки;</w:t>
              <w:br/>
              <w:t xml:space="preserve">- проведение правовой экспертизы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документации об осуществлении закупки, в том числе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проекта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контракта;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 мониторинг нарушений, выявленных уполномоченными органами, </w:t>
              <w:br/>
              <w:t xml:space="preserve">в целях корректировки условий, включаемых в документацию об осуществлении закупки, в том числе в проект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контракта и описание объектов закупки;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- использование стандартизированных процедур при определении начальной (максимальной) цены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контракта, начальной цены за единицу товара, работы, услуги;</w:t>
              <w:br/>
              <w:t xml:space="preserve">- обязательное обоснование начальной (максимальной) цены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контракта, начальной цены за единицу товара, работы, услуги, включая закупки у единственного поставщика (подрядчика, исполнителя);</w:t>
              <w:br/>
              <w:t xml:space="preserve">- проведение мониторинга цен на товары, работы, услуги в целях недопущения завышения (занижения) начальной (максимальной) цены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контракта, начальной цены за единицу товара, работы, услуги, включая закупки у единственного поставщика (подрядчика, исполнителя);</w:t>
              <w:br/>
              <w:t xml:space="preserve">- анализ начальной (максимальной) цены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контракта, начальной цены за единицу товара, работы, услуги и их обоснованности с учетом объема финансового обеспечения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, запланированного для осуществления закупок товаров, работ, услуг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с опр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еделенными потребительскими свойствами, функциональными, техническими, качественными, эксплуатационными характеристиками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предусмотренных планом-графиком закупок;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 обоснование способа определения поставщика (подрядчика, исполнителя);</w:t>
              <w:br/>
              <w:t>- мониторинг закупок на предмет выявления неоднократных (в течение года) закупок идентичных или однородных товаров, работ, услуг, проведенных без использования конкурентных способов определения поставщика (подрядчика, исполнителя);</w:t>
              <w:br/>
              <w:t>- контроль соблюдения плана-графика закупок, анализ причин нарушения сроков (периодичности) осуществления закупок;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  <w:t>-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 xml:space="preserve"> формирование профиля участников закупки и (или) определенных по результатам закупки поставщиков (подрядчиков, исполнителей), а также их субподрядчиков, соисполнителей (с учетом сведений, указанных в заявках на участие в закупке, информации, имеющейся в распоряжении Управления социальной политики, общедоступной информации в информационно-коммуникационной сети «Интернет»);</w:t>
              <w:br/>
              <w:t>- перекрестный анализ информации, содержащейся в профилях лиц, участвующих в осуществлении закупок, и профилях участников закупки, в целях выявления аффилированности (личной заинтересованности, неформальных связей) между участниками закупки и лицами, участвующими в осуществлении закупок;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16"/>
              <w:rPr/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-использование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 xml:space="preserve">Единой информационной системы в сфере закупок посредством Информационной системы в сфере закупок Свердловской области (доменное имя – </w:t>
            </w:r>
            <w:hyperlink r:id="rId4">
              <w:r>
                <w:rPr>
                  <w:rStyle w:val="Style16"/>
                  <w:rFonts w:cs="Liberation Serif;Times New Roma" w:ascii="Liberation Serif;Times New Roma" w:hAnsi="Liberation Serif;Times New Roma"/>
                  <w:sz w:val="22"/>
                  <w:szCs w:val="22"/>
                </w:rPr>
                <w:t>www.torgi.midural.ru</w:t>
              </w:r>
            </w:hyperlink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);</w:t>
            </w:r>
          </w:p>
          <w:p>
            <w:pPr>
              <w:pStyle w:val="Normal"/>
              <w:widowControl w:val="false"/>
              <w:spacing w:lineRule="auto" w:line="216"/>
              <w:rPr/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- применение мер ответственности в случае нарушения поставщиком (подрядчиком, исполнителем) условий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контракта;</w:t>
              <w:br/>
              <w:t xml:space="preserve">- осуществление контроля за соблюдением сроков и порядка заключения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контракта, предоставления обеспечения исполнения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контракта, приемки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 xml:space="preserve">поставленных товаров, выполненных работ </w:t>
              <w:br/>
              <w:t>(их результатов), оказанных услуг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, в том числе этапов исполнения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контракта;</w:t>
              <w:br/>
              <w:t xml:space="preserve">- анализ обоснованности изменения условий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, в случае, если возможность изменения условий государственного контракта была предусмотрена государственным контрактом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(изменение цены государственного контракта,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количества поставляемых товаров, объема выполняемых работ, оказываемых услуг)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, неприменения мер ответственности в случае нарушения поставщиком (подрядчиком, исполнителем) условий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дополнительно к реализуемым:</w:t>
              <w:br/>
              <w:t>*представление лицами, участвующими в осуществлении закупок, декларации о возможной личной заинтересованности;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*предоставление лицами, участвующими в осуществлении закупок, информации о родственниках, свойственниках и иных аффилированных с ними лицах (далее – информация об аффилированных лицах);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*формирование профиля лиц, участвующих в осуществлении закупок, с учетом информации об аффилированных лицах, декларации о возможной личной заинтересованности, общедоступной информации в информационно-коммуникационной сети «Интернет», для выявления возможных связей, свидетельствующих о наличии у них личной заинтересованности;</w:t>
            </w:r>
          </w:p>
          <w:p>
            <w:pPr>
              <w:pStyle w:val="ConsPlus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Cs w:val="22"/>
                <w:lang w:eastAsia="en-US"/>
              </w:rPr>
              <w:t>*организация ежегодной добровольной оценки знаний лиц, участвующих в осуществлении закупок, по вопросам, связанным с соблюдением ограничений и запретов, требований о предотвращении или об урегулировании конфликта интересов, исполнения обязанностей, установленных Федеральным законом</w:t>
              <w:br/>
              <w:t>от 25 декабря 2008 года № 273-ФЗ «О противодействии коррупции» и другими федеральными законами, уделяя особое внимание вопросам личной заинтересованности, которая влияет или может повлиять на надлежащее, объективное и беспристрастное осуществление закупок;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лиц, участвующих в осуществлении закупок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br/>
              <w:t>*актуализация (по мере необходимости) декларации о возможной личной заинтересованности и информации об аффилированных лицах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  <w:lang w:eastAsia="en-US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лицами,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участвующими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в  осуществлении закупок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*актуализация профиля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лиц, участвующих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 в 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осуществлении закупок;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*анализ и сопоставление информации о юридических лицах и индивидуальных предпринимателях, </w:t>
            </w: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которым направлялись запросы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в рамках мониторинга цен на товары, работы, услуги, с информацией о поставщиках (подрядчиках, исполнителях) у которых закупка товаров, работ, услуг осуществлена без использования конкурентных способов определения поставщиков (подрядчиков, исполнителей);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*сравнительный анализ информации о юридических лицах и индивидуальных предпринимателях, которым направлялись запросы и которыми представлены ценовые предложения в рамках мониторинга цен на товары, работы, услуги в целях определения начальной (максимальной) цены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color w:val="343432"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контракта, начальной цены за единицу товара, работы, услуги, с информацией </w:t>
              <w:br/>
              <w:t xml:space="preserve">о поставщиках (подрядчиках, исполнителях), закупки </w:t>
              <w:br/>
              <w:t xml:space="preserve">у которых проводились без использования конкурентных способов определения поставщиков (подрядчиков, исполнителей) и участниках закупки, предлагаемых </w:t>
              <w:br/>
              <w:t>в качестве единственного поставщика (подрядчика, исполнителя);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*привлечение специалистов, обладающих специальными знаниями, к приемке поставленных товаров, выполненных работ (их результатов), оказанных услуг по </w:t>
            </w:r>
            <w:r>
              <w:rPr>
                <w:rFonts w:eastAsia="Calibri" w:cs="Liberation Serif;Times New Roma" w:ascii="Liberation Serif;Times New Roma" w:hAnsi="Liberation Serif;Times New Roma"/>
                <w:bCs/>
                <w:color w:val="343432"/>
                <w:sz w:val="22"/>
                <w:szCs w:val="22"/>
                <w:lang w:eastAsia="en-US"/>
              </w:rPr>
              <w:t>государственному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контракту.</w:t>
            </w:r>
          </w:p>
        </w:tc>
      </w:tr>
      <w:tr>
        <w:trPr>
          <w:trHeight w:val="552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57" w:right="57" w:hanging="0"/>
              <w:jc w:val="both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Контроль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Управлению социальной политики № 3, переданных им государственных полномочий по предоставлению субсидий и компенсаций расходов на оплату жилого помещения и коммунальных услуг, в форме проверок, в том числе выборочных, соблюдения порядка предоставления субсидий и компенсаций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и компенсаций расходов на оплату жилого помещения и коммунальных услуг, а также обоснованности произведенных расходов на оплату  услуг по доставке этих субсидий и компенсаций расходов и данных, отраженных в отчетах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умышленное игнорирование оснований проведения внеплановых проверок, при возникновении оснований  её проведения или административное давление посредством проведения внеплановых проверок;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игнорирование нарушений подконтрольного субъекта служащим;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служащий или его руководитель аффилирован с проверяемой организацией   или получает от нее (него) незаконное вознаграждение;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приписывание фактов нарушений обязательных требований, преувеличение значимости выявленных нарушений с целью получения незаконного вознаграждения;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не указание фактов выявленных нарушений при составлении акта проверки в отношении проверяемого органа местного самоуправления;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превышение сроков проведения проверки;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проведение проверки по вопросам, не относящимся к ведению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требование документов, материалов, не относящихся к проведению проверки;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ненаправление акта проверки для ознакомления в целях последующей отмены результатов проверки.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-проверка наличия возможной аффилированности между подконтрольным субъектом и служащими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-размещение на сайте государственного (муниципального) органа информации о том, как сообщить о случае вымогательства незаконного вознаграждения со стороны проверяющего служащего;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-ограничение возможности неоднократного проведения проверок в отношении подконтрольного субъекта одним и тем же служащим;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-реализация принципа "четыре глаза";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-доведение до подконтрольных субъектов информации об обязательных требованиях;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-организация работы по приему и рассмотрению соответствующей информации вышестоящим контрольно-надзорным органом или правоохранительным органом;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-установление четких оснований и критериев принятия решения;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-установление четкой регламентации способа и сроков совершения действий должностным лицом при осуществлении коррупционно-опасной функции;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-установление дополнительных форм отчетности должностных лиц о результатах принятых решений;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-оптимизирован перечень документов (материалов, информации), которые граждане (организации) обязаны предоставить для предоставления государственных услуг и (или) для реализации права;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-установлены и четко регламентированы способы и сроки принятия решений;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-включение должностей гражданских служащих Управления социальной политики,  замещение которых связано с коррупционными рисками, в перечень должностей гражданской службы в Управлении социальной политики, при замещении которых гражданские служащие обязаны предоставлять сведения о доходах, расходах, об имуществе и обязательствах имущественного характера на себя, своих супруги (супруга) и несовершеннолетних детей;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*оснащение инспекторского состава техническими средствами фото-, видео- и аудиозаписи при проведении выездных проверок, а также создание условий для приобщения к материалам проверки фото-, видео- и аудиозаписей, предоставленных подконтрольным субъектом;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*периодическое перераспределение  между гражданскими служащими функций контроля за реализацией органами местного самоуправления муниципальных образований переданных им государственных полномочий по предоставлению субсидий и компенсаций на оплату жилого помещения и коммунальных услуг;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</w:tc>
      </w:tr>
      <w:tr>
        <w:trPr>
          <w:trHeight w:val="558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113" w:right="57" w:hanging="0"/>
              <w:jc w:val="both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право на доступ к информации</w:t>
            </w:r>
          </w:p>
          <w:p>
            <w:pPr>
              <w:pStyle w:val="Normal"/>
              <w:widowControl w:val="false"/>
              <w:ind w:left="113" w:right="57" w:hanging="0"/>
              <w:jc w:val="both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  <w:lang w:eastAsia="en-US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предложение от заинтересованных лиц за определенное вознаграждение предоставить доступ к информации, которая не подлежит официальному распространению;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  <w:lang w:eastAsia="en-US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использование в личных или групповых интересах информации, полученной при выполнении служебных (трудовых) обязанностей, если такая информация не подлежит  официальному распространению.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Liberation Serif;Times New Roma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-соблюдение утвержденной антикоррупциооной политики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*установление запрета на использование съемных машинных носителей информации (флэш-накопители, внешние накопители на жестких дисках и иные устройства);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*ограничение доступа в служебное время в информационно-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телекоммуникационную сеть "Интернет"</w:t>
              <w:br/>
            </w:r>
          </w:p>
        </w:tc>
      </w:tr>
      <w:tr>
        <w:trPr>
          <w:trHeight w:val="753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Осуществление функций по опеке и попечительству, в том числе: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- установление опеки и попечительства;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- 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- 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- формирование, ведение и предоставление гражданам сведений регионального банка данных о детях, оставшихся без попечения родителей, для передачи их на воспитание в семьи граждан;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- представление в судебных и других органах прав и законных интересов несовершеннолетних, недееспособных или ограниченно дееспособных граждан;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- 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- выдача разрешений на совершение сделок с имуществом подопечных;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>- иные функции, при осуществлении которых возможно возникновение конфликта интересов</w:t>
            </w:r>
          </w:p>
          <w:p>
            <w:pPr>
              <w:pStyle w:val="Normal"/>
              <w:widowControl w:val="false"/>
              <w:spacing w:lineRule="auto" w:line="204"/>
              <w:ind w:right="57" w:hanging="0"/>
              <w:rPr>
                <w:rFonts w:ascii="Liberation Serif;Times New Roma" w:hAnsi="Liberation Serif;Times New Roma" w:cs="Liberation Serif;Times New Roma"/>
                <w:bCs/>
                <w:color w:val="000000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ненадлежащее исполнение обязанностей при осуществлении функций по опеке и попечительству;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решение вопроса во внеочередном порядке в отношении отдельного физического или юридического лица при наличии значительного числа  очередных обращений;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передача детей-сирот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 детей, оставшихся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без попечения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родителей, под опеку, в приемную семью на усыновление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(удочерение) с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нарушением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установленного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порядка и требований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закона в личных интересах;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 указание фактов выявленных нарушений при составлении акта проверки условий жизни в отношении опекаемого (подопечного);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возможность поступления предложения за определенное вознаграждение отказаться, например, от исковых требований, признать исковые требования, заключить мирное соглашение или иные действия, нарушающие интересы опекаемого (подопечного), государства и  общества в целом;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 xml:space="preserve">включение (невключение) в список </w:t>
            </w: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 xml:space="preserve"> детей-сирот и детей, оставшихся без попечения родителей, для обеспечения жилыми помещениями государственного специализированного жилищного фонда Свердловской области за определенное вознаграждение при отсутствии законных оснований либо в интересах должностного лица или его родственников;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выдача (отказ в выдаче) разрешений на совершение сделок с имуществом подопечных за определенное вознаграждение при отсутствии законных оснований;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использование</w:t>
            </w:r>
            <w:r>
              <w:rPr>
                <w:rFonts w:cs="Liberation Serif;Times New Roma" w:ascii="Liberation Serif;Times New Roma" w:hAnsi="Liberation Serif;Times New Roma"/>
                <w:bCs/>
                <w:color w:val="000000"/>
                <w:sz w:val="22"/>
                <w:szCs w:val="22"/>
              </w:rPr>
              <w:t xml:space="preserve"> жилых помещений, нанимателями по договорам социального найма либо собственниками которых являются дети-сироты и дети, оставшиеся без попечения родителей, в личных целях либо в интересах родственников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-разработка и внедрение алгоритма проверок (взаимопроверок) сохранности и использования имущества детей-сирот и детей, оставшихся без попечения родителей, уделяя особое внимание имуществу, неиспользуемому длительное время;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-установление дополнительных форм отчетности, как внутри Управления социальной политики, так и в вышестоящие органы, в том числе в Министерство социальной политики Свердловской области;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-обеспечение повседневного контроля за соблюдением служащими этических норм поведения;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-периодическое перераспределение  между гражданскими служащими функций контроля сохранности и использования жилья несовершеннолетнего;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-включение должностей гражданских служащих Управления социальной политики,  замещение которых связано с коррупционными рисками, в перечень должностей гражданской службы в Управлении социальной политики, при замещении которых гражданские служащие обязаны предоставлять сведения о доходах, расходах, об имуществе и обязательствах имущественного характера на себя, своих супруги (супруга) и несовершеннолетних детей;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 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-проведение разъяснительной и иной работы (обучающие семинары, технические учебы,  круглые столы, встречи и др. мероприятия) в целях существенного снижения возможностей коррупционного поведения при исполнении коррупционно-опасных функций.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*повышение квалификации лиц, осуществляющих функции по опеке и попечительству (направление для обучения по дополнительным профессиональным программам по вопросам опеки и попечительства);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*формирование перечня жилых помещений, единоличными собственниками, сособственниками либо единственными нанимателями по договорам социального найма которых являются дети-сироты или дети, оставшиеся без попечения родителей, но фактически в данных помещениях не проживают и актуализировать его по мере необходимости, в т. ч. по результатам сверки сведений о жилых помещениях;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*не реже одного раза в полугодие проводить сверку сведений о жилых помещениях, принадлежащих детям-сиротам или детям, оставшимся без попечения родителей, на предмет наличия (отсутствия) акта обследования жилого помещения в установленные сроки, договора коммерческого найма жилого помещения;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*проводить не реже одного раза в год выборочные выездные проверки жилых помещений, принадлежащих детям-сиротам или детям, оставшимся без попечения родителей, с участием руководителей (заместителей) структурных  подразделений управления социальной политики, ответственного за работу по профилактике коррупционных и иных правонарушений, иных гражданских служащих, в должностные обязанности которых не входит осуществление контроля за использованием жилых помещений, представителей организаций социального обслуживания;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*проведение перекрестного анализа сведений о жилых помещениях, находящихся в пользовании гражданских служащих и членов их семьи, со сведениями о жилых помещениях, включенных в Перечень жилых помещений, принадлежащих  детям-сиротам или детям, оставшимся без попечения родителей, а также сведений о лицах, предоставивших жилые помещения в пользование гражданским служащим, со сведениями о родственниках, свойственниках, иных аффилированных с гражданским служащим и членами его семьи лицах;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*не реже одного раза в год осуществлять ротацию гражданских служащих с изменением подведомственных учетных дел несовершеннолетних по  территориальной принадлежности (перераспределение подконтрольных жилых помещений по «участковому принципу»);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*предусмотреть при принятии решений о предоставлении жилых помещений в пользование по договорам коммерческого найма подготовку и заключение договоров коммерческого найма жилого помещения гражданскими служащими,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в должностные обязанности которых не входит осуществление контроля за использованием жилых помещений.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bCs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bCs/>
                <w:sz w:val="22"/>
                <w:szCs w:val="22"/>
                <w:lang w:eastAsia="en-US"/>
              </w:rPr>
              <w:t>Осуществление функций получателя средств областного бюджета,  установленных бюджетным законодательством Российской Федерации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необоснованное завышение (оказание предпочтения) или ограничение круга возможных получателей бюджетных средств;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необоснованное завышение (оказание предпочтения) либо занижение объема бюджетных средств, распределяемых отдельным получателям;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искажение, сокрытие или предоставление заведомо ложных сведений в отчетах об использовании средств;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 целевое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финансовых средств, направленное на получение выгоды;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оплата фактически не отработанного работником времени, оплата работы несуществующего работника,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необоснованные выплаты стимулирующего характера,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используемые в личных интересах;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несвоевременная постановка на учет имущества;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сокрытие или внесение недостоверных сведений по результатам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инвентаризации материальных запасов;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 соблюдение порядка, условий, сроков списания материальных запасов,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расходных материалов, с целью использования их в личных целях;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имущества Управления социальной политики в личных целях;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искажение сведений в учетной документации в целях использования полученных товарно-материальных ценностей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в личных интересах;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искажение, сокрытие или предоставление заведомо ложных сведений в отчетах об использовании средств;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 целевое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финансовых средств, направленное на получение выгоды;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предоставление дорогостоящих подарков, оплата транспортных, развлекательных услуг, предоставление иных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благ при отсутствии законных оснований.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-мониторинг открытости, достоверности, полноты и качества данных в отношении бюджетных средств в информационных системах, в частности в государственной интегрированной информационной системе управления общественными финансами «Электронный бюджет»;</w:t>
            </w:r>
          </w:p>
          <w:p>
            <w:pPr>
              <w:pStyle w:val="Normal"/>
              <w:widowControl w:val="false"/>
              <w:spacing w:lineRule="auto" w:line="216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-мониторинг и анализ информации, содержащейся в жалобах граждан и организаций, а также информации о нарушениях, выявленных органами контроля и надзора;</w:t>
            </w:r>
          </w:p>
          <w:p>
            <w:pPr>
              <w:pStyle w:val="Normal"/>
              <w:widowControl w:val="false"/>
              <w:spacing w:lineRule="auto" w:line="216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-повышение (улучшение) знаний и навыков служащих Управления, участвующих в принятии решения о  распределении, использовании бюджетных средств;</w:t>
            </w:r>
          </w:p>
          <w:p>
            <w:pPr>
              <w:pStyle w:val="Normal"/>
              <w:widowControl w:val="false"/>
              <w:spacing w:lineRule="auto" w:line="216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-включение должностей, замещение которых предусматривает участие в  принятии решения о  распределении, использовании бюджетных средств, в соответствующий перечень должностей, замещение которых связано с коррупционными рисками;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-установление обязанности для всех организаций осуществлять внутренний контроль хозяйственных операций;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-контроль документирования операций хозяйственной деятельности организации;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-проверка экономической обоснованности осуществляемых операций в сферах коррупционного риска.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Подготовка и принятие решений о возврате или зачете излишне уплаченных или излишне взысканных сумм социальных пособий и компенсаций, а также пеней и штрафов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возможность поступления предложения за определенное вознаграждение уменьшить размер суммы, подлежащей взысканию;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необоснованное увеличение размера  суммы, подлежащей взысканию, в целях получения выгоды в свою пользу или в пользу родственников</w:t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-исключение необходимости личного взаимодействия (общения) должностных лиц с гражданами и организациями;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 xml:space="preserve">- </w:t>
            </w:r>
            <w:r>
              <w:rPr>
                <w:sz w:val="22"/>
                <w:szCs w:val="22"/>
              </w:rPr>
              <w:t>установление четкой регламентации способа и сроков совершения действий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должностным лицом при осуществлении коррупционно-опасной функции;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установление дополнительных форм отчетности должностных лиц о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результатах принятых решений (протокол переплат направляется в вышестоящий орган для контроля)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Представление  прав и законных интересов Управления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возможность поступления предложения за определенное вознаграждение отказаться, например, от исковых требований, признать исковые требования, заключить мирное соглашение или иные действия, нарушающие интересы Управления социальной политики, государства, общества</w:t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-информационная открытость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-соблюдение утвержденной антикоррупциооной политики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-минимизация степени усмотрения при принятии решений должностными лицами посредством установления четких оснований и критериев принятия решений;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-обеспечение возможности принятия решения коллегиально;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 установление дополнительных форм отчетности должностных лиц об участии в судебных заседаниях и др. процессах и о результатах принятых решений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Осуществление функций по предоставлению государственных услуг гражданам и организациям, в том числе: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 осуществление функций по предоставлению мер социальной поддержки гражданам в соответствии с законодательством Российской Федерации и законодательством Свердловской области, в том числе: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 xml:space="preserve">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рассмотрение заявлений, принятие решений о предоставлении (об отказе в предоставлении) государственных услуг, мер социальной поддержки, социальных гарантий и выплат;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формирование и ведение реестра категорий граждан, имеющих право на получение мер социальной поддержки;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формирование сведений для выплаты мер социальной поддержки;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требование от физических и (или) юридичесикх лиц информации, предоставление которой не предусмотрено законодательством Российской Федерации;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высокая степень свободы принятия решений, вызванной спецификой служебной деятельности, интенсивности контактов с гражданами и организациями;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подготовка и принятие решений о предоставлении социальных услуг близким родственникам гражданских служащих;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решение вопроса во внеочередном порядке в отношении отдельного физического или юридического лица при наличии значительного числа  очередных обращений;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предоставление не предусмотренных законом преимуществ (протекционизм, семейственность) при подготовке проекта решения о предоставлении государственных услуг (мер социальной поддержки);</w:t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-введены и расширены процессуальные формы взаимодействия граждан (организаций) и должностных лиц (использование информационных технологий для осуществления служебной деятельности («одно окно», система электронного обмена информацией);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-исключена необходимость личного взаимодействия (общения) должностных лиц с гражданами и организациями (за счет введения Многофункциональных центров предоставления государтсвенных и муниципальных услуг, Единого портала государственных и муниципальных услуг (ЕПГУ) -  информационной системы, обеспечивающей доступ к сведениям о государственных и муниципальных услугах);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-оптимизирован перечень документов (материалов, информации), которые граждане (организации) обязаны предоставить для предоставления государственных услуг и (или) для реализации права;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-установлены и четко регламентированы способы и сроки принятия решений;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-исключение ситуаций единоличного принятия решений;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-выработаны рекомендации по предотвращению конфликта интересов в зависимости от их функционала;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 регулярный мониторинг информации о возможных коррупционных правонарушениях, совершенных служащими (работниками), в том числе на основе жалоб, содержащихся в обращениях граждан и организаций, публикаций в средствах массовой информации (создан "телефон доверия");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-исключение участия гражданских служащих управления социальной политики в рассмотрении заявлений, подготовке и принятии решений о предоставлении мер социальной поддержки в отношении самих себя, своих родственников, свойственников, иных аффилированных с ними и членами их семей лиц;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*разработать алгоритм действий должностных лиц и гражданских служащих управления социальной политики при поступлении заявлений о предоставлении мер социальной поддержки гражданских служащих управления социальной политики, их родственников и свойственников, иных аффилированных с ними и членами их семей лиц, включающий порядок распределения поступивших заявлений гражданским служащим управления социальной политики, не связанным с заявителями родственными, свойственными и иными близкими отношениями, порядок рассмотрения таких заявлений коллегиальным органом (комиссией, рабочей группой), порядок контроля за принятием и реализацией решений, предоставлением мер социальной поддержки;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*предусмотреть в должностных регламентах гражданских служащих управления социальной политики, в должностные обязанности которых входит рассмотрение заявлений граждан о предоставлении мер социальной поддержки, подготовка и принятие решений о предоставлении гражданам мер социальной поддержки, обязанность по уведомлению непосредственного руководителя и руководителя управления социальной политики о поступлении к ним на рассмотрение заявлений о предоставлении мер социальной поддержки в отношении их самих, их родственников, свойственников, иных аффилированных с ними и членами их семей лиц;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*формировать список гражданских служащих управления социальной политики, в должностные обязанности которых входит рассмотрение заявлений граждан о предоставлении мер социальной поддержки, подготовка и принятие решений о предоставлении гражданам мер социальной поддержки, включая руководителя управления социальной политики и его заместителей, с указанием фамилии, имени, отчества, даты рождения и СНИЛС гражданских служащих управления социальной политики, их родственников, свойственников и иных аффилированных с ними и членами их семей лиц в формате Excel (далее – Список) и актуализировать его по мере необходимости при изменении анкетных данных гражданских служащих управления социальной политики и членов их семей;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*проводить сверку со сведениями о получателях мер социальной поддержки и карточками обращений ПКУ граждан и протоколами работ в автоматизированной системе «Адресная социальная помощь» (АС «АСП»)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Проверка документов и подготовка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необоснованное затягивание решения вопроса сверх установленных сроков (волокита) при принятии решений, связанных с реализацией прав граждан или юридических лиц;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решение вопроса во внеочередном порядке в отношении отдельного физического или юридического лица при наличии значительного числа  очередных обращений;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предоставление не предусмотренных законом преимуществ (протекционизм, семейственность) при подготовке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капитала;</w:t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-информационная открытость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-соблюдение утвержденной антикоррупциооной политики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-введены и расширены процессуальные формы взаимодействия граждан (организаций) и должностных лиц (использование информационных технологий для осуществления служебной деятельности («одно окно», система электронного обмена информацией);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-исключена необходимость личного взаимодействия (общения) должностных лиц с гражданами и организациями (за счет введения Многофункциональных центров предоставления государтсвенных и муниципальных услуг, Единого портала государственных и муниципальных услуг (ЕПГУ) -  информационной системы, обеспечивающей доступ к сведениям о государственных и муниципальных услугах);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-оптимизирован перечень документов (материалов, информации), которые граждане (организации) обязаны предоставить для предоставления государственных услуг и (или) для реализации права;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-установлены и четко регламентированы способы и сроки принятия решений;</w:t>
            </w:r>
          </w:p>
          <w:p>
            <w:pPr>
              <w:pStyle w:val="Normal"/>
              <w:widowControl w:val="false"/>
              <w:spacing w:lineRule="auto" w:line="216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 регулярный мониторинг информации о возможных коррупционных правонарушениях, совершенных служащими (работниками), в том числе на основе жалоб, содержащихся в обращениях граждан и организаций, публикаций в средствах массовой информации (создан "телефон доверия");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/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включение должностей, замещение которых предусматривает подготовку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капитала, в соответствующий перечень должностей, замещение которых связано с коррупционными рисками;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*предусмотреть в должностных регламентах гражданских служащих управления социальной политики, в должностные обязанности которых входит подготовка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 обязанность по уведомлению непосредственного руководителя и руководителя управления социальной политики о поступлении к ним на рассмотрение заявлений о выдаче сертификата на областной материнский (семейный) капитал и о распоряжении  средствами областного материнского (семейного) капитала в отношении их самих, их родственников, свойственников, иных аффилированных с ними и членами их семей лиц;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Составление индивидуальных программ предоставления социальных услуг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принятие решения о предоставлении социальных услуг при отсутствии документов, являющихся основанием для получения услуг;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не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предусмотренных законом преимуществ, льгот;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социальных услуг в нарушение стандартов оказания социальных услуг;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необоснованной, искаженной информации путем составления справок, заполнения документов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нуждаемости в социальных услугах для внесения их в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ИППСУ;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-информационная открытость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-соблюдение утвержденной антикоррупциооной политики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проведение разъяснительной и иной работы (обучающие семинары, круглые столы, встречи и др. мероприятия) для существенного снижения возможностей коррупционного поведения при исполнении коррупционно-опасных функций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Организация отдыха и оздоровления граждан в сфере социальной защиты населения (постановка на учет, предоставление бесплатных путевок на санаторно-курортное лечение отдельных категорий детей, находящихся в трудной жизненной ситуации, в  организации отдыха детей и их оздоровления)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решение вопроса во внеочередном порядке в отношении отдельного физического лица при наличии значительного числа  очередных обращений;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предоставление не предусмотренных законом преимуществ (протекционизм, семейственность) для отдельных физических лиц;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-информационная открытость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-соблюдение утвержденной антикоррупциооной политики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-исключена необходимость личного взаимодействия (общения) должностных лиц с гражданами и организациями (за счет введения Многофункциональных центров предоставления государтсвенных и муниципальных услуг, Единого портала государственных и муниципальных услуг (ЕПГУ) -  информационной системы, обеспечивающей доступ к сведениям о государственных и муниципальных услугах);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-оптимизирован перечень документов (материалов, информации), которые граждане (организации) обязаны предоставить для предоставления государственных услуг и (или) для реализации права;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-установлены и четко регламентированы способы и сроки принятия решений;</w:t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регулярный мониторинг информации о возможных коррупционных правонарушениях, совершенных служащими (работниками), в том числе на основе жалоб, содержащихся в обращениях граждан и организаций, публикаций в средствах массовой информации (создан "телефон доверия");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Рассмотрение заявлений и документов, подтверждающих нуждаемость гражданина в социальном обслуживании, принятие решений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составление индивидуальных программ предоставления социальных услуг, участие в составлении индивидуальных программ реабилитации, абилитации инвалидов, определение перечня рекомендуемых поставщиков социальных услуг;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принятие решения о нуждаемости гражданина в социальном обслуживании, о предоставлении социальных услуг при отсутствии документов, являющихся основанием для принятия таких решений, в т.ч. при отсутствии основания для получения услуг;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не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предусмотренных законом преимуществ, льгот;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социальных услуг в нарушение стандартов оказания социальных услуг;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необоснованной, искаженной информации путем составления справок, заполнения документов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нуждаемости в социальных услугах для внесения их в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/>
              <w:t>ИППСУ;</w:t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-информационная открытость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-соблюдение утвержденной антикоррупциооной политики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</w:t>
            </w: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проведение разъяснительной и иной работы (обучающие семинары, круглые столы, встречи и др. мероприятия) для существенного снижения возможностей коррупционного поведения при исполнении коррупционно-опасных функций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 xml:space="preserve"> </w:t>
            </w: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Проверка документов и принятие решений о включении граждан в списки для награждения знаком отличия Свердловской области «Совет да Любовь», «Материнская доблесть», для присвоения  звания «Ветеран труда», «Ветеран труда Свердловской области», иными наградами  и знаками отличия, дающими право на предоставление мер социальной поддержки;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необоснованное затягивание решения вопроса сверх установленных сроков (волокита) при принятии решений, связанных с реализацией прав граждан или юридических лиц;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требование от физических и (или) юридичесикх лиц информации, предоставление которой не предусмотрено законодательством Российской Федерации;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решение вопроса во внеочередном порядке в отношении отдельного физического или юридического лица при наличии значительного числа  очередных обращений;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-информационная открытость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-соблюдение утвержденной антикоррупциооной политики Управления социальной политики;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-введены и расширены процессуальные формы взаимодействия граждан (организаций) и должностных лиц (использование информационных технологий для осуществления служебной деятельности («одно окно», система электронного обмена информацией);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-исключена необходимость личного взаимодействия (общения) должностных лиц с гражданами и организациями (за счет введения Многофункциональных центров предоставления государтсвенных и муниципальных услуг, Единого портала государственных и муниципальных услуг (ЕПГУ) -  информационной системы, обеспечивающей доступ к сведениям о государственных и муниципальных услугах);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-оптимизирован перечень документов (материалов, информации), которые граждане (организации) обязаны предоставить для предоставления государственных услуг и (или) для реализации права;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-установлены и четко регламентированы способы и сроки принятия решений;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- контроль, проверка обоснованности принятых решений вышестоящим органом (Министерством социальной политики)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*повышение квалификации государственных гражданских служащих (направление для обучения по дополнительной профессиональной программе по вопросам профилактики и 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204"/>
              <w:jc w:val="center"/>
              <w:rPr>
                <w:rFonts w:ascii="Liberation Serif;Times New Roma" w:hAnsi="Liberation Serif;Times New Roma" w:cs="Liberation Serif;Times New Roma"/>
                <w:color w:val="343432"/>
              </w:rPr>
            </w:pPr>
            <w:r>
              <w:rPr>
                <w:rFonts w:cs="Liberation Serif;Times New Roma" w:ascii="Liberation Serif;Times New Roma" w:hAnsi="Liberation Serif;Times New Roma"/>
                <w:color w:val="343432"/>
              </w:rPr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Организация и проведение проверок соблюдения государственными гражданскими служащими Управления социальной политики № 3 требований к служебному поведению, исполнению ими обязанностей, соблюдения запретов и ограничений, установленных в целях противодействия коррупции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нарушение должностным лицом требований нормативных правовых, ведомственных, локальных актов, регламентирующих вопросы организации, планирования и проведения названных проверок;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приписывание фактов нарушений требований к служебному поведению, исполнению обязанностей, соблюдения запретов и ограничений государственным гражданским служащим Управления социальной политики, преувеличение значимости выявленных нарушений с целью получения незаконного вознаграждения;</w:t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04"/>
              <w:rPr/>
            </w:pPr>
            <w:r>
              <w:rPr>
                <w:rFonts w:eastAsia="Calibri" w:cs="Liberation Serif;Times New Roma" w:ascii="Liberation Serif;Times New Roma" w:hAnsi="Liberation Serif;Times New Roma"/>
                <w:sz w:val="22"/>
                <w:szCs w:val="22"/>
                <w:lang w:eastAsia="en-US"/>
              </w:rPr>
              <w:t>не указание фактов выявленных нарушений при составлении акта проверки в отношении проверяемого государственного гражданского служащего Управления социальной политики с целью получения незаконного вознаграждения;</w:t>
            </w:r>
          </w:p>
          <w:p>
            <w:pPr>
              <w:pStyle w:val="Normal"/>
              <w:widowControl w:val="false"/>
              <w:spacing w:lineRule="auto" w:line="2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предоставление не предусмотренных законом преимуществ (протекционизм, семейственность) для поступления на государственную гражданскую службу;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</w:tc>
        <w:tc>
          <w:tcPr>
            <w:tcW w:w="23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Государственные гражданские служащие Управления социальной политики № 3, участвующие в осуществлении коррупционно-опасной функции</w:t>
            </w:r>
          </w:p>
        </w:tc>
        <w:tc>
          <w:tcPr>
            <w:tcW w:w="37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-обеспечение распределения функций по предупреждению коррупции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внутри организации (определение в Управлении ответственных за профилактику коррупционных нарушений);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-включение должностей гражданских служащих Управления социальной политики,  замещение которых связано с коррупционными рисками, в перечень должностей гражданской службы в Управлении социальной политики, при замещении которых гражданские служащие обязаны предоставлять сведения о доходах, расходах, об имуществе и обязательствах имущественного характера на себя, своих супруги (супруга) и несовершеннолетних детей;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-организован внутренний контроль за исполнением должностными лицами своих обязанностей, введена система внутреннего информирования;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-организованы проверочные мероприятия в рамках проверки достоверности и полноты сведений о доходах, об имуществе и обязательствах  имущественного характера (Указ президента Российской Федерации от 21.09.2009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поведению»), контроля за соответствием расходов доходам (Федеральный закон от 03.12.2012 № 230-ФЗ «О контроле за соответствием расходов лиц, замещающих государственные должности,  и иных лиц их доходам»), так и 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СМИ;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-ознакомление гражданских служащих  Управления социальной политики с 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 за непринятие мер по предотвращению и (или) урегулированию конфликта интересов;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-проведение разъяснительной и иной работы (обучающие семинары, технические учебы, круглые столы, встречи и др. мероприятия) для существенного снижения возможностей коррупционного поведения при исполнении коррупционно-опасных функций;</w:t>
            </w:r>
          </w:p>
          <w:p>
            <w:pPr>
              <w:pStyle w:val="Normal"/>
              <w:widowControl w:val="false"/>
              <w:spacing w:lineRule="auto" w:line="2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-взаимодействие с правоохранительными органами по вопросам профилактики и противодействия коррупции.</w:t>
            </w:r>
          </w:p>
        </w:tc>
        <w:tc>
          <w:tcPr>
            <w:tcW w:w="2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  <w:t>*повышение квалификации лиц, замещающих  должности гражданских служащих Управления социальной политики,  замещение которых связано с коррупционными рисками (направление для обучения по дополнительной профессиональной программе по вопросам профилактики и противодействия коррупции);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cs="Liberation Serif;Times New Roma"/>
                <w:sz w:val="22"/>
                <w:szCs w:val="22"/>
              </w:rPr>
            </w:pPr>
            <w:r>
              <w:rPr>
                <w:rFonts w:cs="Liberation Serif;Times New Roma" w:ascii="Liberation Serif;Times New Roma" w:hAnsi="Liberation Serif;Times New Roma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*предоставление лицами, включенными в Перечень должностей с коррупционными рисками, информации о родственниках, свойственниках и иных аффилированных с ними лицах;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*проведение перекрестного анализа сведений о жилых помещениях, находящихся в пользовании гражданских служащих и членов их семьи, со сведениями о жилых помещениях, включенных в Перечень жилых помещений, принадлежащих  детям-сиротам или детям, оставшимся без попечения родителей, а также сведений о лицах, предоставивших жилые помещения в пользование гражданским служащим, со сведениями о родственниках, свойственниках, иных аффилированных с гражданским служащим и членами его семьи лицах;</w:t>
            </w:r>
          </w:p>
          <w:p>
            <w:pPr>
              <w:pStyle w:val="Normal"/>
              <w:widowControl w:val="false"/>
              <w:spacing w:lineRule="auto" w:line="204"/>
              <w:rPr>
                <w:rFonts w:ascii="Liberation Serif;Times New Roma" w:hAnsi="Liberation Serif;Times New Roma" w:eastAsia="Calibri" w:cs="Liberation Serif;Times New Roma"/>
                <w:color w:val="343432"/>
                <w:sz w:val="22"/>
                <w:szCs w:val="22"/>
                <w:lang w:eastAsia="en-US"/>
              </w:rPr>
            </w:pPr>
            <w:r>
              <w:rPr>
                <w:rFonts w:eastAsia="Calibri" w:cs="Liberation Serif;Times New Roma" w:ascii="Liberation Serif;Times New Roma" w:hAnsi="Liberation Serif;Times New Roma"/>
                <w:color w:val="343432"/>
                <w:sz w:val="22"/>
                <w:szCs w:val="22"/>
                <w:lang w:eastAsia="en-US"/>
              </w:rPr>
              <w:t>*обеспечить при анализе сведений о доходах, расходах, об имуществе и обязательствах имущественного характера гражданских служащих управления социальной политики, в должностные обязанности которых входит рассмотрение заявлений граждан о предоставлении мер социальной поддержки, подготовка и принятие решений о предоставлении гражданам мер социальной поддержки, проведение перекрестного анализа сведений о доходах, относящихся к мерам социальной поддержки, полученных гражданскими служащими управления социальной политики и членами их семей, со сведениями о лицах, принимавших участие в рассмотрении заявлений гражданских служащих управления социальной политики и членов их семей, подготовке и принятии решений о предоставлении им мер социальной поддержки.</w:t>
            </w:r>
          </w:p>
        </w:tc>
      </w:tr>
    </w:tbl>
    <w:p>
      <w:pPr>
        <w:pStyle w:val="Normal"/>
        <w:suppressAutoHyphens w:val="false"/>
        <w:spacing w:lineRule="auto" w:line="276" w:before="0" w:after="200"/>
        <w:rPr/>
      </w:pPr>
      <w:r>
        <w:rPr/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/>
      </w:r>
    </w:p>
    <w:sectPr>
      <w:headerReference w:type="default" r:id="rId5"/>
      <w:type w:val="nextPage"/>
      <w:pgSz w:orient="landscape" w:w="16838" w:h="11906"/>
      <w:pgMar w:left="964" w:right="1005" w:gutter="0" w:header="426" w:top="1361" w:footer="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/>
    </w:pPr>
    <w:r>
      <w:rPr>
        <w:rFonts w:cs="Liberation Serif" w:ascii="Liberation Serif" w:hAnsi="Liberation Serif"/>
        <w:sz w:val="28"/>
        <w:szCs w:val="28"/>
      </w:rPr>
      <w:fldChar w:fldCharType="begin"/>
    </w:r>
    <w:r>
      <w:rPr>
        <w:sz w:val="28"/>
        <w:szCs w:val="28"/>
        <w:rFonts w:cs="Liberation Serif" w:ascii="Liberation Serif" w:hAnsi="Liberation Serif"/>
      </w:rPr>
      <w:instrText xml:space="preserve"> PAGE </w:instrText>
    </w:r>
    <w:r>
      <w:rPr>
        <w:sz w:val="28"/>
        <w:szCs w:val="28"/>
        <w:rFonts w:cs="Liberation Serif" w:ascii="Liberation Serif" w:hAnsi="Liberation Serif"/>
      </w:rPr>
      <w:fldChar w:fldCharType="separate"/>
    </w:r>
    <w:r>
      <w:rPr>
        <w:sz w:val="28"/>
        <w:szCs w:val="28"/>
        <w:rFonts w:cs="Liberation Serif" w:ascii="Liberation Serif" w:hAnsi="Liberation Serif"/>
      </w:rPr>
      <w:t>2</w:t>
    </w:r>
    <w:r>
      <w:rPr>
        <w:sz w:val="28"/>
        <w:szCs w:val="28"/>
        <w:rFonts w:cs="Liberation Serif" w:ascii="Liberation Serif" w:hAnsi="Liberation Serif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/>
    </w:pPr>
    <w:r>
      <w:rPr>
        <w:rFonts w:cs="Liberation Serif" w:ascii="Liberation Serif" w:hAnsi="Liberation Serif"/>
        <w:sz w:val="28"/>
        <w:szCs w:val="28"/>
      </w:rPr>
      <w:fldChar w:fldCharType="begin"/>
    </w:r>
    <w:r>
      <w:rPr>
        <w:sz w:val="28"/>
        <w:szCs w:val="28"/>
        <w:rFonts w:cs="Liberation Serif" w:ascii="Liberation Serif" w:hAnsi="Liberation Serif"/>
      </w:rPr>
      <w:instrText xml:space="preserve"> PAGE </w:instrText>
    </w:r>
    <w:r>
      <w:rPr>
        <w:sz w:val="28"/>
        <w:szCs w:val="28"/>
        <w:rFonts w:cs="Liberation Serif" w:ascii="Liberation Serif" w:hAnsi="Liberation Serif"/>
      </w:rPr>
      <w:fldChar w:fldCharType="separate"/>
    </w:r>
    <w:r>
      <w:rPr>
        <w:sz w:val="28"/>
        <w:szCs w:val="28"/>
        <w:rFonts w:cs="Liberation Serif" w:ascii="Liberation Serif" w:hAnsi="Liberation Serif"/>
      </w:rPr>
      <w:t>30</w:t>
    </w:r>
    <w:r>
      <w:rPr>
        <w:sz w:val="28"/>
        <w:szCs w:val="28"/>
        <w:rFonts w:cs="Liberation Serif" w:ascii="Liberation Serif" w:hAnsi="Liberation Serif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a512a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qFormat/>
    <w:rsid w:val="0083577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b066e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>
    <w:name w:val="Hyperlink"/>
    <w:basedOn w:val="DefaultParagraphFont"/>
    <w:uiPriority w:val="99"/>
    <w:unhideWhenUsed/>
    <w:rsid w:val="002a5de2"/>
    <w:rPr>
      <w:color w:val="0563C1" w:themeColor="hyperlink"/>
      <w:u w:val="single"/>
    </w:rPr>
  </w:style>
  <w:style w:type="character" w:styleId="2" w:customStyle="1">
    <w:name w:val="Основной текст (2)_"/>
    <w:qFormat/>
    <w:rPr>
      <w:sz w:val="21"/>
      <w:szCs w:val="21"/>
      <w:lang w:bidi="ar-SA"/>
    </w:rPr>
  </w:style>
  <w:style w:type="character" w:styleId="22" w:customStyle="1">
    <w:name w:val="Основной текст (2)2"/>
    <w:basedOn w:val="2"/>
    <w:qFormat/>
    <w:rPr>
      <w:sz w:val="21"/>
      <w:szCs w:val="21"/>
      <w:lang w:bidi="ar-SA"/>
    </w:rPr>
  </w:style>
  <w:style w:type="character" w:styleId="1pt" w:customStyle="1">
    <w:name w:val="Основной текст + Интервал 1 pt"/>
    <w:qFormat/>
    <w:rPr>
      <w:rFonts w:ascii="Times New Roman" w:hAnsi="Times New Roman" w:cs="Times New Roman"/>
      <w:spacing w:val="30"/>
      <w:sz w:val="21"/>
      <w:szCs w:val="21"/>
      <w:shd w:fill="FFFFFF" w:val="clear"/>
      <w:lang w:bidi="ar-SA"/>
    </w:rPr>
  </w:style>
  <w:style w:type="character" w:styleId="1pt1" w:customStyle="1">
    <w:name w:val="Основной текст + Интервал 1 pt1"/>
    <w:qFormat/>
    <w:rPr>
      <w:rFonts w:ascii="Book Antiqua" w:hAnsi="Book Antiqua" w:cs="Book Antiqua"/>
      <w:spacing w:val="30"/>
      <w:sz w:val="24"/>
      <w:szCs w:val="24"/>
      <w:shd w:fill="FFFFFF" w:val="clear"/>
      <w:lang w:bidi="ar-SA"/>
    </w:rPr>
  </w:style>
  <w:style w:type="character" w:styleId="WW8Num1z0" w:customStyle="1">
    <w:name w:val="WW8Num1z0"/>
    <w:qFormat/>
    <w:rPr>
      <w:sz w:val="22"/>
      <w:szCs w:val="22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qFormat/>
    <w:rsid w:val="0081174a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val="ru-RU" w:eastAsia="ru-RU" w:bidi="ar-SA"/>
    </w:rPr>
  </w:style>
  <w:style w:type="paragraph" w:styleId="Style23" w:customStyle="1">
    <w:name w:val="Колонтитул"/>
    <w:basedOn w:val="Normal"/>
    <w:qFormat/>
    <w:pPr/>
    <w:rPr/>
  </w:style>
  <w:style w:type="paragraph" w:styleId="Style24">
    <w:name w:val="Header"/>
    <w:basedOn w:val="Normal"/>
    <w:link w:val="Style14"/>
    <w:rsid w:val="008357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Style15"/>
    <w:uiPriority w:val="99"/>
    <w:unhideWhenUsed/>
    <w:rsid w:val="00b066e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" w:customStyle="1">
    <w:name w:val="Обычный1"/>
    <w:qFormat/>
    <w:rsid w:val="007911cb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qFormat/>
    <w:pPr>
      <w:ind w:left="720" w:firstLine="709"/>
      <w:jc w:val="both"/>
    </w:pPr>
    <w:rPr>
      <w:rFonts w:eastAsia="Calibri"/>
      <w:sz w:val="28"/>
      <w:szCs w:val="28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Абзац списка"/>
    <w:basedOn w:val="Normal"/>
    <w:qFormat/>
    <w:pPr>
      <w:ind w:left="720" w:right="0" w:firstLine="709"/>
      <w:jc w:val="both"/>
    </w:pPr>
    <w:rPr>
      <w:rFonts w:eastAsia="Calibri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ravo.gov66.ru/" TargetMode="External"/><Relationship Id="rId3" Type="http://schemas.openxmlformats.org/officeDocument/2006/relationships/header" Target="header1.xml"/><Relationship Id="rId4" Type="http://schemas.openxmlformats.org/officeDocument/2006/relationships/hyperlink" Target="http://www.torgi.midural.ru/" TargetMode="Externa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2259</TotalTime>
  <Application>LibreOffice/7.4.3.2$Windows_X86_64 LibreOffice_project/1048a8393ae2eeec98dff31b5c133c5f1d08b890</Application>
  <AppVersion>15.0000</AppVersion>
  <Pages>30</Pages>
  <Words>7555</Words>
  <Characters>60751</Characters>
  <CharactersWithSpaces>68210</CharactersWithSpaces>
  <Paragraphs>387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2021-11-25T09:18:00Z</dcterms:created>
  <dc:creator>Захарова Наталья Николаевна</dc:creator>
  <dc:description/>
  <dc:language>ru-RU</dc:language>
  <cp:lastModifiedBy/>
  <cp:lastPrinted>2024-09-26T12:22:19Z</cp:lastPrinted>
  <dcterms:modified xsi:type="dcterms:W3CDTF">2024-10-07T17:33:36Z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