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DB6BDA2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bookmarkStart w:id="0" w:name="_GoBack"/>
      <w:bookmarkEnd w:id="0"/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 w:val="1"/>
          <w:color w:val="auto"/>
          <w:sz w:val="32"/>
        </w:rPr>
        <w:t xml:space="preserve"> К</w:t>
      </w:r>
      <w:r>
        <w:rPr>
          <w:rFonts w:ascii="Liberation Serif" w:hAnsi="Liberation Serif"/>
          <w:b w:val="1"/>
          <w:color w:val="auto"/>
          <w:sz w:val="32"/>
          <w:u w:val="single"/>
        </w:rPr>
        <w:t>омпенсация затрат или частичное освобождение от затрат на подключение жилого помещения к газовым сетям.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>При частичной компенсации затрат гражданин</w:t>
      </w:r>
      <w:r>
        <w:rPr>
          <w:rFonts w:ascii="Liberation Serif" w:hAnsi="Liberation Serif"/>
          <w:color w:val="auto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 xml:space="preserve">При частичном освобождении от затрат </w:t>
      </w:r>
      <w:r>
        <w:rPr>
          <w:rFonts w:ascii="Liberation Serif" w:hAnsi="Liberation Serif"/>
          <w:b w:val="1"/>
          <w:sz w:val="24"/>
        </w:rPr>
        <w:t>90%</w:t>
      </w:r>
      <w:r>
        <w:rPr>
          <w:rFonts w:ascii="Liberation Serif" w:hAnsi="Liberation Serif"/>
          <w:sz w:val="24"/>
        </w:rPr>
        <w:t xml:space="preserve"> стоимости работ за газификацию жилого помещения осуществляется Управлением социальной политики напрямую подрядным организациям.</w:t>
      </w:r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28"/>
          <w:u w:val="double"/>
        </w:rPr>
      </w:pPr>
      <w:r>
        <w:rPr>
          <w:rFonts w:ascii="Liberation Serif" w:hAnsi="Liberation Serif"/>
          <w:b w:val="1"/>
          <w:color w:val="auto"/>
          <w:sz w:val="28"/>
          <w:u w:val="double"/>
        </w:rPr>
        <w:t>Работники государственных организаций Свердловской области, муниципальных организаций, расположенных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в поселках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городского типа,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в  городе, или обособленных структурных подразделений государственных организаций Свердловской области и муниципальных организаций, расположенных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</w:t>
      </w:r>
      <w:r>
        <w:rPr>
          <w:rFonts w:ascii="Liberation Serif" w:hAnsi="Liberation Serif"/>
          <w:b w:val="1"/>
          <w:color w:val="auto"/>
          <w:sz w:val="28"/>
          <w:u w:val="double"/>
        </w:rPr>
        <w:t>в городе</w:t>
      </w:r>
      <w:r>
        <w:rPr>
          <w:rFonts w:ascii="Liberation Serif" w:hAnsi="Liberation Serif"/>
          <w:b w:val="1"/>
          <w:color w:val="auto"/>
          <w:sz w:val="28"/>
          <w:u w:val="double"/>
        </w:rPr>
        <w:t>,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в посе</w:t>
      </w:r>
      <w:r>
        <w:rPr>
          <w:rFonts w:ascii="Liberation Serif" w:hAnsi="Liberation Serif"/>
          <w:b w:val="1"/>
          <w:color w:val="auto"/>
          <w:sz w:val="28"/>
          <w:u w:val="double"/>
        </w:rPr>
        <w:t>лке городского типа или сельском населенном пун</w:t>
      </w:r>
      <w:r>
        <w:rPr>
          <w:rFonts w:ascii="Liberation Serif" w:hAnsi="Liberation Serif"/>
          <w:b w:val="1"/>
          <w:color w:val="auto"/>
          <w:sz w:val="28"/>
          <w:u w:val="double"/>
        </w:rPr>
        <w:t>кте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</w:t>
      </w:r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28"/>
          <w:u w:val="double"/>
        </w:rPr>
      </w:pP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(работники бюджетной сферы)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 </w:t>
      </w:r>
      <w:r>
        <w:rPr>
          <w:rFonts w:ascii="Liberation Serif" w:hAnsi="Liberation Serif"/>
          <w:b w:val="1"/>
          <w:sz w:val="24"/>
        </w:rPr>
        <w:t>Условиями предоставления мер социальной поддержки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 гражданин проживает (проживают) на территории Свердловской области в жилом помещении, подключенном или подключаемом к газовым сетям;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 жилое помещение принадлежит гражданину на праве собственности.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3) работнику бюджетной сферы не предоставлялись социальные гарантии и меры социальной поддержки в связи с газификацией жилого помещения;</w:t>
      </w:r>
    </w:p>
    <w:p>
      <w:pPr>
        <w:spacing w:after="0"/>
        <w:jc w:val="left"/>
        <w:rPr>
          <w:rFonts w:ascii="Liberation Serif" w:hAnsi="Liberation Serif"/>
          <w:b w:val="0"/>
          <w:sz w:val="24"/>
          <w:u w:val="none"/>
        </w:rPr>
      </w:pPr>
      <w:r>
        <w:rPr>
          <w:rFonts w:ascii="Liberation Serif" w:hAnsi="Liberation Serif"/>
          <w:sz w:val="24"/>
        </w:rPr>
        <w:t xml:space="preserve">            4)гражданин осуществля</w:t>
      </w:r>
      <w:r>
        <w:rPr>
          <w:rFonts w:ascii="Liberation Serif" w:hAnsi="Liberation Serif"/>
          <w:b w:val="0"/>
          <w:sz w:val="24"/>
          <w:u w:val="none"/>
        </w:rPr>
        <w:t xml:space="preserve">ет работу  в государственных организаций Свердловской области, муниципальных организаций, </w:t>
      </w:r>
      <w:r>
        <w:rPr>
          <w:rFonts w:ascii="Liberation Serif" w:hAnsi="Liberation Serif"/>
          <w:b w:val="0"/>
          <w:sz w:val="24"/>
          <w:u w:val="none"/>
        </w:rPr>
        <w:t xml:space="preserve">в поселках городского типа, в  городе, или обособленных структурных подразделений государственных организаций Свердловской области и муниципальных организаций, расположенных в городе, в поселке городского типа или сельском населенном пункте</w:t>
      </w:r>
      <w:r>
        <w:rPr>
          <w:rFonts w:ascii="Liberation Serif" w:hAnsi="Liberation Serif"/>
          <w:b w:val="0"/>
          <w:sz w:val="24"/>
          <w:u w:val="none"/>
        </w:rPr>
        <w:t>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>5)</w:t>
      </w:r>
      <w:r>
        <w:rPr>
          <w:rFonts w:ascii="Liberation Serif" w:hAnsi="Liberation Serif"/>
          <w:b w:val="1"/>
          <w:sz w:val="24"/>
        </w:rPr>
        <w:t>Работники бюджетной сферы</w:t>
      </w:r>
      <w:r>
        <w:rPr>
          <w:rFonts w:ascii="Liberation Serif" w:hAnsi="Liberation Serif"/>
          <w:b w:val="1"/>
          <w:sz w:val="24"/>
        </w:rPr>
        <w:t>, расположенных</w:t>
      </w:r>
      <w:r>
        <w:rPr>
          <w:rFonts w:ascii="Liberation Serif" w:hAnsi="Liberation Serif"/>
          <w:b w:val="1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>в сельской местности период осущ</w:t>
      </w:r>
      <w:r>
        <w:rPr>
          <w:rFonts w:ascii="Liberation Serif" w:hAnsi="Liberation Serif"/>
          <w:b w:val="1"/>
          <w:sz w:val="24"/>
        </w:rPr>
        <w:t xml:space="preserve">ествления затрат с 01.01.2023 по 31.12.2030 </w:t>
      </w:r>
      <w:r>
        <w:rPr>
          <w:rFonts w:ascii="Liberation Serif" w:hAnsi="Liberation Serif"/>
          <w:b w:val="1"/>
          <w:sz w:val="24"/>
        </w:rPr>
        <w:t>г.</w:t>
      </w:r>
    </w:p>
    <w:p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6) </w:t>
      </w:r>
      <w:r>
        <w:rPr>
          <w:rFonts w:ascii="Liberation Serif" w:hAnsi="Liberation Serif"/>
          <w:sz w:val="24"/>
        </w:rPr>
        <w:t>)Р</w:t>
      </w:r>
      <w:r>
        <w:rPr>
          <w:rFonts w:ascii="Liberation Serif" w:hAnsi="Liberation Serif"/>
          <w:b w:val="1"/>
          <w:sz w:val="24"/>
        </w:rPr>
        <w:t xml:space="preserve">аботники бюджетной сферы, расположенных в </w:t>
      </w:r>
      <w:r>
        <w:rPr>
          <w:rFonts w:ascii="Liberation Serif" w:hAnsi="Liberation Serif"/>
          <w:b w:val="1"/>
          <w:sz w:val="24"/>
        </w:rPr>
        <w:t>г</w:t>
      </w:r>
      <w:r>
        <w:rPr>
          <w:rFonts w:ascii="Liberation Serif" w:hAnsi="Liberation Serif"/>
          <w:b w:val="1"/>
          <w:sz w:val="24"/>
        </w:rPr>
        <w:t>о</w:t>
      </w:r>
      <w:r>
        <w:rPr>
          <w:rFonts w:ascii="Liberation Serif" w:hAnsi="Liberation Serif"/>
          <w:b w:val="1"/>
          <w:sz w:val="24"/>
        </w:rPr>
        <w:t>р</w:t>
      </w:r>
      <w:r>
        <w:rPr>
          <w:rFonts w:ascii="Liberation Serif" w:hAnsi="Liberation Serif"/>
          <w:b w:val="1"/>
          <w:sz w:val="24"/>
        </w:rPr>
        <w:t>о</w:t>
      </w:r>
      <w:r>
        <w:rPr>
          <w:rFonts w:ascii="Liberation Serif" w:hAnsi="Liberation Serif"/>
          <w:b w:val="1"/>
          <w:sz w:val="24"/>
        </w:rPr>
        <w:t>д</w:t>
      </w:r>
      <w:r>
        <w:rPr>
          <w:rFonts w:ascii="Liberation Serif" w:hAnsi="Liberation Serif"/>
          <w:b w:val="1"/>
          <w:sz w:val="24"/>
        </w:rPr>
        <w:t>е</w:t>
      </w:r>
      <w:r>
        <w:rPr>
          <w:rFonts w:ascii="Liberation Serif" w:hAnsi="Liberation Serif"/>
          <w:b w:val="1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>период осуществления затрат с 01.0</w:t>
      </w:r>
      <w:r>
        <w:rPr>
          <w:rFonts w:ascii="Liberation Serif" w:hAnsi="Liberation Serif"/>
          <w:b w:val="1"/>
          <w:sz w:val="24"/>
        </w:rPr>
        <w:t>1</w:t>
      </w:r>
      <w:r>
        <w:rPr>
          <w:rFonts w:ascii="Liberation Serif" w:hAnsi="Liberation Serif"/>
          <w:b w:val="1"/>
          <w:sz w:val="24"/>
        </w:rPr>
        <w:t>.</w:t>
      </w:r>
      <w:r>
        <w:rPr>
          <w:rFonts w:ascii="Liberation Serif" w:hAnsi="Liberation Serif"/>
          <w:b w:val="1"/>
          <w:sz w:val="24"/>
        </w:rPr>
        <w:t>2</w:t>
      </w:r>
      <w:r>
        <w:rPr>
          <w:rFonts w:ascii="Liberation Serif" w:hAnsi="Liberation Serif"/>
          <w:b w:val="1"/>
          <w:sz w:val="24"/>
        </w:rPr>
        <w:t>0</w:t>
      </w:r>
      <w:r>
        <w:rPr>
          <w:rFonts w:ascii="Liberation Serif" w:hAnsi="Liberation Serif"/>
          <w:b w:val="1"/>
          <w:sz w:val="24"/>
        </w:rPr>
        <w:t>2</w:t>
      </w:r>
      <w:r>
        <w:rPr>
          <w:rFonts w:ascii="Liberation Serif" w:hAnsi="Liberation Serif"/>
          <w:b w:val="1"/>
          <w:sz w:val="24"/>
        </w:rPr>
        <w:t>4</w:t>
      </w:r>
      <w:r>
        <w:rPr>
          <w:rFonts w:ascii="Liberation Serif" w:hAnsi="Liberation Serif"/>
          <w:b w:val="1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>по</w:t>
      </w:r>
      <w:r>
        <w:rPr>
          <w:rFonts w:ascii="Liberation Serif" w:hAnsi="Liberation Serif"/>
          <w:b w:val="1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>3</w:t>
      </w:r>
      <w:r>
        <w:rPr>
          <w:rFonts w:ascii="Liberation Serif" w:hAnsi="Liberation Serif"/>
          <w:b w:val="1"/>
          <w:sz w:val="24"/>
        </w:rPr>
        <w:t>1</w:t>
      </w:r>
      <w:r>
        <w:rPr>
          <w:rFonts w:ascii="Liberation Serif" w:hAnsi="Liberation Serif"/>
          <w:b w:val="1"/>
          <w:sz w:val="24"/>
        </w:rPr>
        <w:t>.</w:t>
      </w:r>
      <w:r>
        <w:rPr>
          <w:rFonts w:ascii="Liberation Serif" w:hAnsi="Liberation Serif"/>
          <w:b w:val="1"/>
          <w:sz w:val="24"/>
        </w:rPr>
        <w:t>1</w:t>
      </w:r>
      <w:r>
        <w:rPr>
          <w:rFonts w:ascii="Liberation Serif" w:hAnsi="Liberation Serif"/>
          <w:b w:val="1"/>
          <w:sz w:val="24"/>
        </w:rPr>
        <w:t>2</w:t>
      </w:r>
      <w:r>
        <w:rPr>
          <w:rFonts w:ascii="Liberation Serif" w:hAnsi="Liberation Serif"/>
          <w:b w:val="1"/>
          <w:sz w:val="24"/>
        </w:rPr>
        <w:t>.</w:t>
      </w:r>
      <w:r>
        <w:rPr>
          <w:rFonts w:ascii="Liberation Serif" w:hAnsi="Liberation Serif"/>
          <w:b w:val="1"/>
          <w:sz w:val="24"/>
        </w:rPr>
        <w:t>2</w:t>
      </w:r>
      <w:r>
        <w:rPr>
          <w:rFonts w:ascii="Liberation Serif" w:hAnsi="Liberation Serif"/>
          <w:b w:val="1"/>
          <w:sz w:val="24"/>
        </w:rPr>
        <w:t>0</w:t>
      </w:r>
      <w:r>
        <w:rPr>
          <w:rFonts w:ascii="Liberation Serif" w:hAnsi="Liberation Serif"/>
          <w:b w:val="1"/>
          <w:sz w:val="24"/>
        </w:rPr>
        <w:t>3</w:t>
      </w:r>
      <w:r>
        <w:rPr>
          <w:rFonts w:ascii="Liberation Serif" w:hAnsi="Liberation Serif"/>
          <w:b w:val="1"/>
          <w:sz w:val="24"/>
        </w:rPr>
        <w:t>0</w:t>
      </w:r>
      <w:r>
        <w:rPr>
          <w:rFonts w:ascii="Liberation Serif" w:hAnsi="Liberation Serif"/>
          <w:b w:val="1"/>
          <w:sz w:val="24"/>
        </w:rPr>
        <w:t>г.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ascii="Liberation Serif" w:hAnsi="Liberation Serif"/>
          <w:b w:val="1"/>
          <w:sz w:val="24"/>
        </w:rPr>
        <w:t>в сумме 250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ascii="Liberation Serif" w:hAnsi="Liberation Serif"/>
          <w:b w:val="1"/>
          <w:sz w:val="24"/>
        </w:rPr>
        <w:t>в сумме 175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ascii="Liberation Serif" w:hAnsi="Liberation Serif"/>
          <w:b w:val="1"/>
          <w:sz w:val="24"/>
        </w:rPr>
        <w:t>в сумме 100 тыс. рублей.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       Документы, необходимые для предоставления частичной компенсации затрат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 xml:space="preserve">3) акты о подключении (технологическом присоединении) жилого помещения к газовым сетям –в случае обращения за </w:t>
      </w:r>
      <w:r>
        <w:rPr>
          <w:rFonts w:ascii="Liberation Serif" w:hAnsi="Liberation Serif"/>
          <w:sz w:val="24"/>
          <w:u w:val="single"/>
        </w:rPr>
        <w:t>частичной компенсацией затрат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sz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</w:t>
      </w:r>
      <w:r>
        <w:rPr>
          <w:rFonts w:ascii="Liberation Serif" w:hAnsi="Liberation Serif"/>
          <w:sz w:val="24"/>
          <w:u w:val="single"/>
        </w:rPr>
        <w:t>астичной компенсацией затрат;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</w:t>
      </w:r>
    </w:p>
    <w:p>
      <w:pPr>
        <w:spacing w:after="0" w:beforeAutospacing="0" w:afterAutospacing="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4"/>
        </w:rPr>
        <w:t xml:space="preserve">6) подтверждающую справку об осуществлении работы в государственной организации Свердловской области или муниципальной организации, расположенной в  городе, или обособленных структурных подразделений государственных организаций Свердловской области и муниципальных организаций, расположенных в  городе.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7) 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>Перечень бытового газового оборудования: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1.Газовый котел двухконтурный (отопление и горячая вода) или газовый котел одноконтурный (отопительный) и (или) газовый водонагреватель (бойлер), либо термоблок газовый уличный;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(комбинированная газоэлектрическая) плита либо газовая (комбинированная газоэлектрическая) варочная поверхность  (панель) и (или) газовый (комбинированный газоэлектрический)духовой шкаф (духовка);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датчиком загазованности;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>
      <w:pPr>
        <w:spacing w:after="0" w:beforeAutospacing="0" w:afterAutospacing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Документы можно подать через:-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>
      <w:headerReference xmlns:r="http://schemas.openxmlformats.org/officeDocument/2006/relationships" w:type="default" r:id="RelHdr1"/>
      <w:type w:val="nextPage"/>
      <w:pgSz w:w="11906" w:h="16838" w:code="9"/>
      <w:pgMar w:left="397" w:right="325" w:top="397" w:bottom="397" w:header="720" w:footer="720" w:gutter="0"/>
      <w:cols w:equalWidth="1" w:space="720"/>
      <w:titlePg w:val="1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2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>
    <w:pPr>
      <w:pStyle w:val="P2"/>
    </w:pPr>
  </w:p>
</w:hdr>
</file>

<file path=word/numbering.xml><?xml version="1.0" encoding="utf-8"?>
<w:numbering xmlns:w="http://schemas.openxmlformats.org/wordprocessingml/2006/main">
  <w:abstractNum w:abstractNumId="0">
    <w:nsid w:val="1B4D2147"/>
    <w:multiLevelType w:val="hybridMultilevel"/>
    <w:lvl w:ilvl="0" w:tplc="5082F6E4">
      <w:start w:val="1"/>
      <w:numFmt w:val="decimal"/>
      <w:suff w:val="tab"/>
      <w:lvlText w:val="%1)"/>
      <w:lvlJc w:val="left"/>
      <w:pPr>
        <w:ind w:hanging="360" w:left="1069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89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509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229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49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69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89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109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829"/>
      </w:pPr>
      <w:rPr/>
    </w:lvl>
  </w:abstractNum>
  <w:abstractNum w:abstractNumId="1">
    <w:nsid w:val="62774490"/>
    <w:multiLevelType w:val="hybridMultilevel"/>
    <w:lvl w:ilvl="0" w:tplc="C45EC94A">
      <w:start w:val="1"/>
      <w:numFmt w:val="decimal"/>
      <w:suff w:val="tab"/>
      <w:lvlText w:val="%1)"/>
      <w:lvlJc w:val="left"/>
      <w:pPr>
        <w:ind w:hanging="360" w:left="10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4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1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0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780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both"/>
      </w:pPr>
    </w:pPrDefault>
  </w:docDefaults>
  <w:style w:type="paragraph" w:styleId="P0" w:default="1">
    <w:name w:val="Normal"/>
    <w:pPr>
      <w:suppressAutoHyphens w:val="1"/>
      <w:spacing w:after="160" w:beforeAutospacing="0" w:afterAutospacing="0"/>
      <w:jc w:val="left"/>
    </w:pPr>
    <w:rPr>
      <w:rFonts w:ascii="Calibri" w:hAnsi="Calibri"/>
    </w:rPr>
  </w:style>
  <w:style w:type="paragraph" w:styleId="P1">
    <w:name w:val="List Paragraph"/>
    <w:basedOn w:val="P0"/>
    <w:pPr>
      <w:ind w:left="720"/>
    </w:pPr>
    <w:rPr/>
  </w:style>
  <w:style w:type="paragraph" w:styleId="P2">
    <w:name w:val="header"/>
    <w:basedOn w:val="P0"/>
    <w:link w:val="C3"/>
    <w:pPr>
      <w:tabs>
        <w:tab w:val="center" w:pos="4677" w:leader="none"/>
        <w:tab w:val="right" w:pos="9355" w:leader="none"/>
      </w:tabs>
      <w:spacing w:after="0" w:beforeAutospacing="0" w:afterAutospacing="0"/>
    </w:pPr>
    <w:rPr/>
  </w:style>
  <w:style w:type="paragraph" w:styleId="P3">
    <w:name w:val="Balloon Text"/>
    <w:basedOn w:val="P0"/>
    <w:link w:val="C4"/>
    <w:semiHidden/>
    <w:pPr>
      <w:spacing w:after="0" w:beforeAutospacing="0" w:afterAutospacing="0"/>
    </w:pPr>
    <w:rPr>
      <w:rFonts w:ascii="Segoe UI" w:hAnsi="Segoe UI"/>
      <w:sz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Верхний колонтитул Знак"/>
    <w:basedOn w:val="C0"/>
    <w:link w:val="P2"/>
    <w:rPr/>
  </w:style>
  <w:style w:type="character" w:styleId="C4">
    <w:name w:val="Текст выноски Знак"/>
    <w:basedOn w:val="C0"/>
    <w:link w:val="P3"/>
    <w:semiHidden/>
    <w:rPr>
      <w:rFonts w:ascii="Segoe UI" w:hAnsi="Segoe UI"/>
      <w:sz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