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DCAA517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bookmarkStart w:id="0" w:name="_GoBack"/>
      <w:bookmarkEnd w:id="0"/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 w:val="1"/>
          <w:color w:val="auto"/>
          <w:sz w:val="32"/>
        </w:rPr>
        <w:t xml:space="preserve"> К</w:t>
      </w:r>
      <w:r>
        <w:rPr>
          <w:rFonts w:ascii="Liberation Serif" w:hAnsi="Liberation Serif"/>
          <w:b w:val="1"/>
          <w:color w:val="auto"/>
          <w:sz w:val="32"/>
          <w:u w:val="single"/>
        </w:rPr>
        <w:t>омпенсация затрат или частичное освобождение от затрат на подключение жилого помещения к газовым сетям.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>При частичной компенсации затрат гражданин</w:t>
      </w:r>
      <w:r>
        <w:rPr>
          <w:rFonts w:ascii="Liberation Serif" w:hAnsi="Liberation Serif"/>
          <w:color w:val="auto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 xml:space="preserve">При частичном освобождении от затрат </w:t>
      </w:r>
      <w:r>
        <w:rPr>
          <w:rFonts w:ascii="Liberation Serif" w:hAnsi="Liberation Serif"/>
          <w:b w:val="1"/>
          <w:sz w:val="24"/>
        </w:rPr>
        <w:t>90%</w:t>
      </w:r>
      <w:r>
        <w:rPr>
          <w:rFonts w:ascii="Liberation Serif" w:hAnsi="Liberation Serif"/>
          <w:sz w:val="24"/>
        </w:rPr>
        <w:t xml:space="preserve"> стоимости работ за газификацию жилого помещения осуществляется Управлением социальной политики напрямую подрядным организациям.</w:t>
      </w:r>
    </w:p>
    <w:p>
      <w:pPr>
        <w:spacing w:after="0" w:beforeAutospacing="0" w:afterAutospacing="0"/>
        <w:jc w:val="center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color w:val="auto"/>
          <w:sz w:val="24"/>
          <w:u w:val="double"/>
        </w:rPr>
        <w:t>Г</w:t>
      </w:r>
      <w:r>
        <w:rPr>
          <w:rFonts w:ascii="Liberation Serif" w:hAnsi="Liberation Serif"/>
          <w:b w:val="1"/>
          <w:color w:val="auto"/>
          <w:sz w:val="24"/>
          <w:u w:val="double"/>
        </w:rPr>
        <w:t xml:space="preserve">раждане, достигшим возраста 60 или 55 лет (соответственно мужчины и женщины), а также гражданам, которым установлена досрочная страховая пенсия по старости, страховая пенсия по инвалидности или социальная пенсия по инвалидности. 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 </w:t>
      </w:r>
      <w:r>
        <w:rPr>
          <w:rFonts w:ascii="Liberation Serif" w:hAnsi="Liberation Serif"/>
          <w:b w:val="1"/>
          <w:sz w:val="24"/>
        </w:rPr>
        <w:t>Условиями предоставления мер социальной поддержки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1) в период осуществления затрат по газификации и на день подачи заявления </w:t>
        <w:br w:type="textWrapping"/>
        <w:t xml:space="preserve">о предоставлении социальных гарантий гражданин не осуществлял (не осуществляет) работу </w:t>
        <w:br w:type="textWrapping"/>
        <w:t>и (или) иную деятельность, в период которой он подлежал (подлежит) обязательному пенсионному страхованию;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2)гражданин проживает на территории Свердловской области в жилом помещении, подключенном или подключаемом к газовым сетям;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3) жилое помещение принадлежит гражданину  на праве собственности.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4)</w:t>
      </w:r>
      <w:r>
        <w:rPr>
          <w:rFonts w:ascii="Liberation Serif" w:hAnsi="Liberation Serif"/>
          <w:sz w:val="24"/>
        </w:rPr>
        <w:t xml:space="preserve"> затраты по газификации жилого помещения осуществлены в период с 1 января 2011 года </w:t>
        <w:br w:type="textWrapping"/>
        <w:t>по 31 декабря 2030 года.</w:t>
      </w:r>
    </w:p>
    <w:p>
      <w:pPr>
        <w:spacing w:after="0" w:beforeAutospacing="0" w:afterAutospacing="0"/>
        <w:ind w:hanging="0" w:left="0"/>
        <w:jc w:val="both"/>
        <w:rPr>
          <w:rFonts w:ascii="Liberation Serif" w:hAnsi="Liberation Serif"/>
          <w:sz w:val="24"/>
        </w:rPr>
      </w:pP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ascii="Liberation Serif" w:hAnsi="Liberation Serif"/>
          <w:b w:val="1"/>
          <w:sz w:val="24"/>
        </w:rPr>
        <w:t xml:space="preserve">90% затрат , но не более  250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 </w:t>
      </w:r>
      <w:r>
        <w:rPr>
          <w:rFonts w:ascii="Liberation Serif" w:hAnsi="Liberation Serif"/>
          <w:b w:val="1"/>
          <w:sz w:val="24"/>
        </w:rPr>
        <w:t xml:space="preserve">90% затрат , но не более  175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 </w:t>
      </w:r>
      <w:r>
        <w:rPr>
          <w:rFonts w:ascii="Liberation Serif" w:hAnsi="Liberation Serif"/>
          <w:b w:val="1"/>
          <w:sz w:val="24"/>
        </w:rPr>
        <w:t xml:space="preserve">90% затрат , но не более  100 тыс. рублей;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       Документы, необходимые для предоставления частичной компенсации затрат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 xml:space="preserve">3) акты о подключении (технологическом присоединении) жилого помещения к газовым сетям –в случае обращения за </w:t>
      </w:r>
      <w:r>
        <w:rPr>
          <w:rFonts w:ascii="Liberation Serif" w:hAnsi="Liberation Serif"/>
          <w:sz w:val="24"/>
          <w:u w:val="single"/>
        </w:rPr>
        <w:t>частичной компенсацией затрат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sz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</w:t>
      </w:r>
      <w:r>
        <w:rPr>
          <w:rFonts w:ascii="Liberation Serif" w:hAnsi="Liberation Serif"/>
          <w:sz w:val="24"/>
          <w:u w:val="single"/>
        </w:rPr>
        <w:t>астичной компенсацией затрат;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5)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6) 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spacing w:after="0" w:beforeAutospacing="0" w:afterAutospacing="0"/>
        <w:ind w:hanging="0" w:left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>Перечень бытового газового оборудования: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1.Газовый котел двухконтурный (отопление и горячая вода) или газовый котел одноконтурный (отопительный) и (или) газовый водонагреватель (бойлер), либо термоблок газовый уличный;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(комбинированная газоэлектрическая) плита либо газовая (комбинированная газоэлектрическая) варочная поверхность  (панель) и (или) газовый (комбинированный газоэлектрический)духовой шкаф (духовка);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датчиком загазованности;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>
      <w:pPr>
        <w:spacing w:after="0" w:beforeAutospacing="0" w:afterAutospacing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Документы можно подать через:-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документы"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>
      <w:headerReference xmlns:r="http://schemas.openxmlformats.org/officeDocument/2006/relationships" w:type="default" r:id="RelHdr1"/>
      <w:type w:val="nextPage"/>
      <w:pgSz w:w="11906" w:h="16838" w:code="9"/>
      <w:pgMar w:left="397" w:right="325" w:top="397" w:bottom="397" w:header="720" w:footer="720" w:gutter="0"/>
      <w:cols w:equalWidth="1" w:space="720"/>
      <w:titlePg w:val="1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2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>
    <w:pPr>
      <w:pStyle w:val="P2"/>
    </w:pPr>
  </w:p>
</w:hdr>
</file>

<file path=word/numbering.xml><?xml version="1.0" encoding="utf-8"?>
<w:numbering xmlns:w="http://schemas.openxmlformats.org/wordprocessingml/2006/main">
  <w:abstractNum w:abstractNumId="0">
    <w:nsid w:val="1B4D2147"/>
    <w:multiLevelType w:val="hybridMultilevel"/>
    <w:lvl w:ilvl="0" w:tplc="5082F6E4">
      <w:start w:val="1"/>
      <w:numFmt w:val="decimal"/>
      <w:suff w:val="tab"/>
      <w:lvlText w:val="%1)"/>
      <w:lvlJc w:val="left"/>
      <w:pPr>
        <w:ind w:hanging="360" w:left="1069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89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509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229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49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69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89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109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829"/>
      </w:pPr>
      <w:rPr/>
    </w:lvl>
  </w:abstractNum>
  <w:abstractNum w:abstractNumId="1">
    <w:nsid w:val="62774490"/>
    <w:multiLevelType w:val="hybridMultilevel"/>
    <w:lvl w:ilvl="0" w:tplc="C45EC94A">
      <w:start w:val="1"/>
      <w:numFmt w:val="decimal"/>
      <w:suff w:val="tab"/>
      <w:lvlText w:val="%1)"/>
      <w:lvlJc w:val="left"/>
      <w:pPr>
        <w:ind w:hanging="360" w:left="10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4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1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0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780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both"/>
      </w:pPr>
    </w:pPrDefault>
  </w:docDefaults>
  <w:style w:type="paragraph" w:styleId="P0" w:default="1">
    <w:name w:val="Normal"/>
    <w:pPr>
      <w:suppressAutoHyphens w:val="1"/>
      <w:spacing w:after="160" w:beforeAutospacing="0" w:afterAutospacing="0"/>
      <w:jc w:val="left"/>
    </w:pPr>
    <w:rPr>
      <w:rFonts w:ascii="Calibri" w:hAnsi="Calibri"/>
    </w:rPr>
  </w:style>
  <w:style w:type="paragraph" w:styleId="P1">
    <w:name w:val="List Paragraph"/>
    <w:basedOn w:val="P0"/>
    <w:pPr>
      <w:ind w:left="720"/>
    </w:pPr>
    <w:rPr/>
  </w:style>
  <w:style w:type="paragraph" w:styleId="P2">
    <w:name w:val="header"/>
    <w:basedOn w:val="P0"/>
    <w:link w:val="C3"/>
    <w:pPr>
      <w:tabs>
        <w:tab w:val="center" w:pos="4677" w:leader="none"/>
        <w:tab w:val="right" w:pos="9355" w:leader="none"/>
      </w:tabs>
      <w:spacing w:after="0" w:beforeAutospacing="0" w:afterAutospacing="0"/>
    </w:pPr>
    <w:rPr/>
  </w:style>
  <w:style w:type="paragraph" w:styleId="P3">
    <w:name w:val="Balloon Text"/>
    <w:basedOn w:val="P0"/>
    <w:link w:val="C4"/>
    <w:semiHidden/>
    <w:pPr>
      <w:spacing w:after="0" w:beforeAutospacing="0" w:afterAutospacing="0"/>
    </w:pPr>
    <w:rPr>
      <w:rFonts w:ascii="Segoe UI" w:hAnsi="Segoe UI"/>
      <w:sz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Верхний колонтитул Знак"/>
    <w:basedOn w:val="C0"/>
    <w:link w:val="P2"/>
    <w:rPr/>
  </w:style>
  <w:style w:type="character" w:styleId="C4">
    <w:name w:val="Текст выноски Знак"/>
    <w:basedOn w:val="C0"/>
    <w:link w:val="P3"/>
    <w:semiHidden/>
    <w:rPr>
      <w:rFonts w:ascii="Segoe UI" w:hAnsi="Segoe UI"/>
      <w:sz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