
<file path=[Content_Types].xml><?xml version="1.0" encoding="utf-8"?>
<Types xmlns="http://schemas.openxmlformats.org/package/2006/content-types">
  <Default Extension="rels" ContentType="application/vnd.openxmlformats-package.relationship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numbering.xml" ContentType="application/vnd.openxmlformats-officedocument.wordprocessingml.numbering+xml"/>
</Types>
</file>

<file path=_rels/.rels><?xml version="1.0" encoding="utf-8"?><Relationships xmlns="http://schemas.openxmlformats.org/package/2006/relationships"><Relationship Id="R0E6849F7" Type="http://schemas.openxmlformats.org/officeDocument/2006/relationships/officeDocument" Target="/word/document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ody>
    <w:p>
      <w:pPr>
        <w:spacing w:after="0" w:beforeAutospacing="0" w:afterAutospacing="0"/>
        <w:ind w:firstLine="709"/>
        <w:jc w:val="both"/>
        <w:rPr>
          <w:rFonts w:ascii="Liberation Serif" w:hAnsi="Liberation Serif"/>
          <w:b w:val="1"/>
          <w:sz w:val="24"/>
        </w:rPr>
      </w:pPr>
      <w:bookmarkStart w:id="0" w:name="_GoBack"/>
      <w:bookmarkEnd w:id="0"/>
    </w:p>
    <w:p>
      <w:pPr>
        <w:spacing w:after="0" w:beforeAutospacing="0" w:afterAutospacing="0"/>
        <w:jc w:val="center"/>
        <w:rPr>
          <w:rFonts w:ascii="Liberation Serif" w:hAnsi="Liberation Serif"/>
          <w:b w:val="1"/>
          <w:color w:val="auto"/>
          <w:sz w:val="32"/>
          <w:u w:val="single"/>
        </w:rPr>
      </w:pPr>
      <w:r>
        <w:rPr>
          <w:rFonts w:ascii="Liberation Serif" w:hAnsi="Liberation Serif"/>
          <w:color w:val="FF0000"/>
          <w:sz w:val="32"/>
        </w:rPr>
        <w:t xml:space="preserve">            </w:t>
      </w:r>
      <w:r>
        <w:rPr>
          <w:rFonts w:ascii="Liberation Serif" w:hAnsi="Liberation Serif"/>
          <w:b w:val="1"/>
          <w:color w:val="auto"/>
          <w:sz w:val="32"/>
        </w:rPr>
        <w:t xml:space="preserve"> К</w:t>
      </w:r>
      <w:r>
        <w:rPr>
          <w:rFonts w:ascii="Liberation Serif" w:hAnsi="Liberation Serif"/>
          <w:b w:val="1"/>
          <w:color w:val="auto"/>
          <w:sz w:val="32"/>
          <w:u w:val="single"/>
        </w:rPr>
        <w:t xml:space="preserve">омпенсация затрат </w:t>
      </w:r>
      <w:r>
        <w:rPr>
          <w:rFonts w:ascii="Liberation Serif" w:hAnsi="Liberation Serif"/>
          <w:b w:val="1"/>
          <w:color w:val="auto"/>
          <w:sz w:val="32"/>
          <w:u w:val="single"/>
        </w:rPr>
        <w:t xml:space="preserve"> на подключение жилого помещения к газовым сетям.</w:t>
      </w:r>
    </w:p>
    <w:p>
      <w:pPr>
        <w:spacing w:after="0" w:beforeAutospacing="0" w:afterAutospacing="0"/>
        <w:jc w:val="left"/>
        <w:rPr>
          <w:rFonts w:ascii="Liberation Serif" w:hAnsi="Liberation Serif"/>
          <w:color w:val="auto"/>
          <w:sz w:val="24"/>
        </w:rPr>
      </w:pPr>
      <w:r>
        <w:rPr>
          <w:rFonts w:ascii="Liberation Serif" w:hAnsi="Liberation Serif"/>
          <w:b w:val="1"/>
          <w:color w:val="auto"/>
          <w:sz w:val="24"/>
        </w:rPr>
        <w:t>При частичной компенсации затрат гражданин</w:t>
      </w:r>
      <w:r>
        <w:rPr>
          <w:rFonts w:ascii="Liberation Serif" w:hAnsi="Liberation Serif"/>
          <w:color w:val="auto"/>
          <w:sz w:val="24"/>
        </w:rPr>
        <w:t xml:space="preserve"> оплачивает подрядным организациям стоимость работ на газификацию жилого помещения, а Управление социальной политики частично, до 90%, возвращает гражданину понесенные им затраты.</w:t>
      </w:r>
    </w:p>
    <w:p>
      <w:pPr>
        <w:spacing w:after="0" w:beforeAutospacing="0" w:afterAutospacing="0"/>
        <w:jc w:val="center"/>
        <w:rPr>
          <w:rFonts w:ascii="Liberation Serif" w:hAnsi="Liberation Serif"/>
          <w:b w:val="1"/>
          <w:sz w:val="28"/>
          <w:u w:val="double"/>
        </w:rPr>
      </w:pPr>
      <w:r>
        <w:rPr>
          <w:rFonts w:ascii="Liberation Serif" w:hAnsi="Liberation Serif"/>
          <w:b w:val="1"/>
          <w:sz w:val="28"/>
          <w:u w:val="double"/>
        </w:rPr>
        <w:t>Вдовам (вдовцам) ветерана или члена семьи ветерана:</w:t>
      </w:r>
    </w:p>
    <w:p>
      <w:pPr>
        <w:spacing w:after="0" w:beforeAutospacing="0" w:afterAutospacing="0"/>
        <w:jc w:val="both"/>
        <w:rPr>
          <w:rFonts w:ascii="Liberation Serif" w:hAnsi="Liberation Serif"/>
          <w:b w:val="1"/>
          <w:sz w:val="24"/>
        </w:rPr>
      </w:pPr>
      <w:r>
        <w:rPr>
          <w:rFonts w:ascii="Liberation Serif" w:hAnsi="Liberation Serif"/>
          <w:sz w:val="24"/>
        </w:rPr>
        <w:t xml:space="preserve">            </w:t>
      </w:r>
      <w:r>
        <w:rPr>
          <w:rFonts w:ascii="Liberation Serif" w:hAnsi="Liberation Serif"/>
          <w:b w:val="1"/>
          <w:sz w:val="24"/>
        </w:rPr>
        <w:t>Условиями предоставления мер социальной поддержки являются: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1)умерший (погибший) ветеран, член семьи ветерана проживал на территории Свердловской области в жилом помещении, подключенном или подключаемом к газовым сетям;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2) жилое помещение принадлежит ветерану или членов семей ветерана на праве собственности.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 xml:space="preserve">3) затраты по газификации жилого помещения осуществлены в период с 1 января 2023 года </w:t>
        <w:br w:type="textWrapping"/>
        <w:t>по 31 декабря 2030 года.</w:t>
      </w:r>
    </w:p>
    <w:p>
      <w:pPr>
        <w:spacing w:after="0" w:beforeAutospacing="0" w:afterAutospacing="0"/>
        <w:ind w:hanging="0" w:left="0"/>
        <w:jc w:val="both"/>
        <w:rPr>
          <w:rFonts w:ascii="Liberation Serif" w:hAnsi="Liberation Serif"/>
          <w:sz w:val="24"/>
        </w:rPr>
      </w:pP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b w:val="1"/>
          <w:sz w:val="24"/>
        </w:rPr>
      </w:pPr>
      <w:r>
        <w:rPr>
          <w:rFonts w:ascii="Liberation Serif" w:hAnsi="Liberation Serif"/>
          <w:b w:val="1"/>
          <w:sz w:val="24"/>
        </w:rPr>
        <w:t>Установлены дифференцированные максимальные предельные размеры частичной компенсации затрат и частичного освобождения от затрат на подключение жилых помещений к газовым сетям от 100 до 250 тыс. рублей с учетом имущественного положения граждан (не более 90 % от затрат):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b w:val="1"/>
          <w:sz w:val="24"/>
        </w:rPr>
      </w:pPr>
      <w:r>
        <w:rPr>
          <w:rFonts w:ascii="Liberation Serif" w:hAnsi="Liberation Serif"/>
          <w:sz w:val="24"/>
        </w:rPr>
        <w:t xml:space="preserve">для граждан, среднедушевой доход которых ниже величины прожиточного минимума на душу населения, установленного в Свердловской области, – </w:t>
      </w:r>
      <w:r>
        <w:rPr>
          <w:rFonts w:ascii="Liberation Serif" w:hAnsi="Liberation Serif"/>
          <w:b w:val="1"/>
          <w:sz w:val="24"/>
        </w:rPr>
        <w:t xml:space="preserve">90% затрат , но не более  250 тыс. рублей;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 xml:space="preserve">для граждан, среднедушевой доход которых ниже 2-х кратной величины прожиточного минимума на душу населения, установленного в Свердловской области,  </w:t>
      </w:r>
      <w:r>
        <w:rPr>
          <w:rFonts w:ascii="Liberation Serif" w:hAnsi="Liberation Serif"/>
          <w:b w:val="1"/>
          <w:sz w:val="24"/>
        </w:rPr>
        <w:t xml:space="preserve">90% затрат , но не более  175 тыс. рублей;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 xml:space="preserve">для граждан, среднедушевой доход которых выше 2-х кратной величины прожиточного минимума на душу населения, установленного в Свердловской области,  </w:t>
      </w:r>
      <w:r>
        <w:rPr>
          <w:rFonts w:ascii="Liberation Serif" w:hAnsi="Liberation Serif"/>
          <w:b w:val="1"/>
          <w:sz w:val="24"/>
        </w:rPr>
        <w:t xml:space="preserve">90% затрат , но не более  100 тыс. рублей;</w:t>
      </w:r>
    </w:p>
    <w:p>
      <w:pPr>
        <w:spacing w:after="0" w:beforeAutospacing="0" w:afterAutospacing="0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b w:val="1"/>
          <w:sz w:val="24"/>
        </w:rPr>
        <w:t xml:space="preserve">            Документы, необходимые для предоставления частичной компенсации затрат являются: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1) правоустанавливающий документ на газифицируемое жилое помещение, право собственности на которое не зарегистрировано в Едином государственном реестре недвижимости;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2) договор (договоры) о работах на подключение (технологическое присоединение) жилого помещения к газовым сетям;</w:t>
      </w:r>
    </w:p>
    <w:p>
      <w:pPr>
        <w:spacing w:after="0" w:beforeAutospacing="0" w:afterAutospacing="0"/>
        <w:ind w:firstLine="709"/>
        <w:jc w:val="both"/>
        <w:rPr>
          <w:sz w:val="24"/>
        </w:rPr>
      </w:pPr>
      <w:r>
        <w:rPr>
          <w:rFonts w:ascii="Liberation Serif" w:hAnsi="Liberation Serif"/>
          <w:sz w:val="24"/>
        </w:rPr>
        <w:t>3) акты о подключении (технологическом присоединении) жилого помещения к газовым сетям</w:t>
      </w:r>
      <w:r>
        <w:rPr>
          <w:rFonts w:ascii="Liberation Serif" w:hAnsi="Liberation Serif"/>
          <w:sz w:val="24"/>
        </w:rPr>
        <w:t>;</w:t>
      </w:r>
    </w:p>
    <w:p>
      <w:pPr>
        <w:tabs>
          <w:tab w:val="left" w:pos="11040" w:leader="none"/>
        </w:tabs>
        <w:spacing w:after="0" w:beforeAutospacing="0" w:afterAutospacing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 xml:space="preserve">4) документы, подтверждающие произведенные затраты на подключение (технологическое присоединение) жилого помещения к газовым сетям </w:t>
      </w:r>
      <w:r>
        <w:rPr>
          <w:rFonts w:ascii="Liberation Serif" w:hAnsi="Liberation Serif"/>
          <w:sz w:val="24"/>
        </w:rPr>
        <w:t>;</w:t>
      </w:r>
    </w:p>
    <w:p>
      <w:pPr>
        <w:tabs>
          <w:tab w:val="left" w:pos="11040" w:leader="none"/>
        </w:tabs>
        <w:spacing w:after="0" w:beforeAutospacing="0" w:afterAutospacing="0"/>
        <w:ind w:firstLine="709"/>
        <w:jc w:val="both"/>
        <w:rPr>
          <w:rFonts w:ascii="Liberation Serif" w:hAnsi="Liberation Serif"/>
          <w:sz w:val="24"/>
          <w:u w:val="none"/>
        </w:rPr>
      </w:pPr>
      <w:r>
        <w:rPr>
          <w:rFonts w:ascii="Liberation Serif" w:hAnsi="Liberation Serif"/>
          <w:sz w:val="24"/>
          <w:u w:val="none"/>
        </w:rPr>
        <w:t>5) удостоверение, дающее право на получение мер социальной поддержки, либо справку уполномоченного органа, содержащую сведения о том, что супруг (супруга) заявителя, являлся ветераном или членом семьи ветерана;</w:t>
      </w:r>
    </w:p>
    <w:p>
      <w:pPr>
        <w:tabs>
          <w:tab w:val="left" w:pos="11040" w:leader="none"/>
        </w:tabs>
        <w:spacing w:after="0" w:beforeAutospacing="0" w:afterAutospacing="0"/>
        <w:ind w:firstLine="709"/>
        <w:jc w:val="both"/>
        <w:rPr>
          <w:rFonts w:ascii="Liberation Serif" w:hAnsi="Liberation Serif"/>
          <w:sz w:val="24"/>
          <w:u w:val="none"/>
        </w:rPr>
      </w:pPr>
      <w:r>
        <w:rPr>
          <w:rFonts w:ascii="Liberation Serif" w:hAnsi="Liberation Serif"/>
          <w:sz w:val="24"/>
          <w:u w:val="none"/>
        </w:rPr>
        <w:t>6) свидетельство о смерти ветерана, члена семьи ветерана, если они выданы компетентными органами иностранного государства, и их нотариально удостоверенный перевод на русский язык;</w:t>
      </w:r>
    </w:p>
    <w:p>
      <w:pPr>
        <w:tabs>
          <w:tab w:val="left" w:pos="11040" w:leader="none"/>
        </w:tabs>
        <w:spacing w:after="0" w:beforeAutospacing="0" w:afterAutospacing="0"/>
        <w:ind w:firstLine="709"/>
        <w:jc w:val="both"/>
        <w:rPr>
          <w:rFonts w:ascii="Liberation Serif" w:hAnsi="Liberation Serif"/>
          <w:sz w:val="24"/>
          <w:u w:val="none"/>
        </w:rPr>
      </w:pPr>
      <w:r>
        <w:rPr>
          <w:rFonts w:ascii="Liberation Serif" w:hAnsi="Liberation Serif"/>
          <w:sz w:val="24"/>
          <w:u w:val="none"/>
        </w:rPr>
        <w:t xml:space="preserve">7) свидетельство о заключении брака с ветераном, членом семьи ветерана, если они </w:t>
      </w:r>
      <w:r>
        <w:rPr>
          <w:rFonts w:ascii="Liberation Serif" w:hAnsi="Liberation Serif"/>
          <w:sz w:val="24"/>
        </w:rPr>
        <w:t>выданы компетентными органами иностранного государства, и их нотариально удостоверенный перевод на русский язык;</w:t>
      </w:r>
    </w:p>
    <w:p>
      <w:pPr>
        <w:spacing w:after="0" w:beforeAutospacing="0" w:afterAutospacing="0"/>
        <w:ind w:firstLine="709"/>
        <w:jc w:val="both"/>
        <w:rPr>
          <w:sz w:val="24"/>
        </w:rPr>
      </w:pPr>
      <w:r>
        <w:rPr>
          <w:rFonts w:ascii="Liberation Serif" w:hAnsi="Liberation Serif"/>
          <w:sz w:val="24"/>
        </w:rPr>
        <w:t>8) документы о доходах заявителя и доходах членов его семьи, за три календарных месяца, предшествующих месяцу подачи заявления, в случае назначения более 100 тыс. руб.;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9) документ, подтверждающий полномочия представителя, (доверенность) – в случае обращения заявителя через представителя.</w:t>
      </w:r>
    </w:p>
    <w:p>
      <w:pPr>
        <w:spacing w:after="0" w:beforeAutospacing="0" w:afterAutospacing="0"/>
        <w:ind w:hanging="0" w:left="0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 xml:space="preserve"> </w:t>
      </w:r>
      <w:r>
        <w:rPr>
          <w:rFonts w:ascii="Liberation Serif" w:hAnsi="Liberation Serif"/>
          <w:b w:val="1"/>
          <w:sz w:val="24"/>
        </w:rPr>
        <w:t xml:space="preserve">            Для получения мер социальной поддержки денежные средства могут быть потрачены на </w:t>
      </w:r>
      <w:r>
        <w:rPr>
          <w:rFonts w:ascii="Liberation Serif" w:hAnsi="Liberation Serif"/>
          <w:sz w:val="24"/>
        </w:rPr>
        <w:t>работы, осуществляемые в целях подключения жилого помещения к газовым сетям (включая затраты на разработку проектной документации, монтаж газового оборудования, установку внутренней системы отопления, пусконаладочные и другие работы, связанные с подключением (технологическим присоединением) жилых помещений к газовым сетям);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b w:val="1"/>
          <w:sz w:val="24"/>
        </w:rPr>
        <w:t>Перечень бытового газового оборудования: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1.Газовый котел двухконтурный (отопление и горячая вода) или газовый котел одноконтурный (отопительный) и (или) газовый водонагреватель (бойлер), либо термоблок газовый уличный;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 xml:space="preserve">2.Газовая (комбинированная газоэлектрическая) плита либо газовая (комбинированная газоэлектрическая) варочная поверхность  (панель) и (или) газовый (комбинированный газоэлектрический)духовой шкаф (духовка);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3.Газовый счетчик;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4.Клапан электромагнитный с датчиком загазованности;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5.Сигнализатор загазованности или сигнализатор угарного газа;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6.Отпительные приборы (радиаторы, конвекторы);</w:t>
      </w:r>
    </w:p>
    <w:p>
      <w:pPr>
        <w:spacing w:after="0" w:beforeAutospacing="0" w:afterAutospacing="0"/>
        <w:ind w:firstLine="709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7.Трубопроводы для систем отопления.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Способ выплаты: через кредитные организации с использованием Единой социальной карты или организации почтовой связи.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Документы можно подать через:-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- единый портал государственных и муниципальных услуг;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- многофункциональный центр предоставления государственных и муниципальных услуг "Мои документы"</w:t>
      </w:r>
    </w:p>
    <w:p>
      <w:pPr>
        <w:spacing w:after="0" w:beforeAutospacing="0" w:afterAutospacing="0"/>
        <w:jc w:val="both"/>
        <w:rPr>
          <w:rFonts w:ascii="Liberation Serif" w:hAnsi="Liberation Serif"/>
          <w:b w:val="1"/>
          <w:sz w:val="24"/>
        </w:rPr>
      </w:pPr>
      <w:r>
        <w:rPr>
          <w:rFonts w:ascii="Liberation Serif" w:hAnsi="Liberation Serif"/>
          <w:sz w:val="24"/>
        </w:rPr>
        <w:t xml:space="preserve">           </w:t>
      </w:r>
    </w:p>
    <w:sectPr>
      <w:headerReference xmlns:r="http://schemas.openxmlformats.org/officeDocument/2006/relationships" w:type="default" r:id="RelHdr1"/>
      <w:type w:val="nextPage"/>
      <w:pgSz w:w="11906" w:h="16838" w:code="9"/>
      <w:pgMar w:left="397" w:right="325" w:top="397" w:bottom="397" w:header="720" w:footer="720" w:gutter="0"/>
      <w:cols w:equalWidth="1" w:space="720"/>
      <w:titlePg w:val="1"/>
    </w:sectPr>
  </w:body>
</w:document>
</file>

<file path=word/header1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p>
    <w:pPr>
      <w:pStyle w:val="P2"/>
      <w:jc w:val="center"/>
    </w:pPr>
    <w:r>
      <w:rPr>
        <w:rFonts w:ascii="Liberation Serif" w:hAnsi="Liberation Serif"/>
        <w:sz w:val="26"/>
      </w:rPr>
      <w:fldChar w:fldCharType="begin"/>
    </w:r>
    <w:r>
      <w:rPr>
        <w:rFonts w:ascii="Liberation Serif" w:hAnsi="Liberation Serif"/>
        <w:sz w:val="26"/>
      </w:rPr>
      <w:instrText xml:space="preserve"> PAGE </w:instrText>
    </w:r>
    <w:r>
      <w:rPr>
        <w:rFonts w:ascii="Liberation Serif" w:hAnsi="Liberation Serif"/>
        <w:sz w:val="26"/>
      </w:rPr>
      <w:fldChar w:fldCharType="separate"/>
    </w:r>
    <w:r>
      <w:rPr>
        <w:rFonts w:ascii="Liberation Serif" w:hAnsi="Liberation Serif"/>
        <w:sz w:val="26"/>
      </w:rPr>
      <w:t>#</w:t>
    </w:r>
    <w:r>
      <w:rPr>
        <w:rFonts w:ascii="Liberation Serif" w:hAnsi="Liberation Serif"/>
        <w:sz w:val="26"/>
      </w:rPr>
      <w:fldChar w:fldCharType="end"/>
    </w:r>
  </w:p>
  <w:p>
    <w:pPr>
      <w:pStyle w:val="P2"/>
    </w:pPr>
  </w:p>
</w:hdr>
</file>

<file path=word/numbering.xml><?xml version="1.0" encoding="utf-8"?>
<w:numbering xmlns:w="http://schemas.openxmlformats.org/wordprocessingml/2006/main">
  <w:abstractNum w:abstractNumId="0">
    <w:nsid w:val="1B4D2147"/>
    <w:multiLevelType w:val="hybridMultilevel"/>
    <w:lvl w:ilvl="0" w:tplc="5082F6E4">
      <w:start w:val="1"/>
      <w:numFmt w:val="decimal"/>
      <w:suff w:val="tab"/>
      <w:lvlText w:val="%1)"/>
      <w:lvlJc w:val="left"/>
      <w:pPr>
        <w:ind w:hanging="360" w:left="1069"/>
      </w:pPr>
      <w:rPr/>
    </w:lvl>
    <w:lvl w:ilvl="1" w:tplc="04190019">
      <w:start w:val="1"/>
      <w:numFmt w:val="lowerLetter"/>
      <w:suff w:val="tab"/>
      <w:lvlText w:val="%2."/>
      <w:lvlJc w:val="left"/>
      <w:pPr>
        <w:ind w:hanging="360" w:left="1789"/>
      </w:pPr>
      <w:rPr/>
    </w:lvl>
    <w:lvl w:ilvl="2" w:tplc="0419001B">
      <w:start w:val="1"/>
      <w:numFmt w:val="lowerRoman"/>
      <w:suff w:val="tab"/>
      <w:lvlText w:val="%3."/>
      <w:lvlJc w:val="right"/>
      <w:pPr>
        <w:ind w:hanging="180" w:left="2509"/>
      </w:pPr>
      <w:rPr/>
    </w:lvl>
    <w:lvl w:ilvl="3" w:tplc="0419000F">
      <w:start w:val="1"/>
      <w:numFmt w:val="decimal"/>
      <w:suff w:val="tab"/>
      <w:lvlText w:val="%4."/>
      <w:lvlJc w:val="left"/>
      <w:pPr>
        <w:ind w:hanging="360" w:left="3229"/>
      </w:pPr>
      <w:rPr/>
    </w:lvl>
    <w:lvl w:ilvl="4" w:tplc="04190019">
      <w:start w:val="1"/>
      <w:numFmt w:val="lowerLetter"/>
      <w:suff w:val="tab"/>
      <w:lvlText w:val="%5."/>
      <w:lvlJc w:val="left"/>
      <w:pPr>
        <w:ind w:hanging="360" w:left="3949"/>
      </w:pPr>
      <w:rPr/>
    </w:lvl>
    <w:lvl w:ilvl="5" w:tplc="0419001B">
      <w:start w:val="1"/>
      <w:numFmt w:val="lowerRoman"/>
      <w:suff w:val="tab"/>
      <w:lvlText w:val="%6."/>
      <w:lvlJc w:val="right"/>
      <w:pPr>
        <w:ind w:hanging="180" w:left="4669"/>
      </w:pPr>
      <w:rPr/>
    </w:lvl>
    <w:lvl w:ilvl="6" w:tplc="0419000F">
      <w:start w:val="1"/>
      <w:numFmt w:val="decimal"/>
      <w:suff w:val="tab"/>
      <w:lvlText w:val="%7."/>
      <w:lvlJc w:val="left"/>
      <w:pPr>
        <w:ind w:hanging="360" w:left="5389"/>
      </w:pPr>
      <w:rPr/>
    </w:lvl>
    <w:lvl w:ilvl="7" w:tplc="04190019">
      <w:start w:val="1"/>
      <w:numFmt w:val="lowerLetter"/>
      <w:suff w:val="tab"/>
      <w:lvlText w:val="%8."/>
      <w:lvlJc w:val="left"/>
      <w:pPr>
        <w:ind w:hanging="360" w:left="6109"/>
      </w:pPr>
      <w:rPr/>
    </w:lvl>
    <w:lvl w:ilvl="8" w:tplc="0419001B">
      <w:start w:val="1"/>
      <w:numFmt w:val="lowerRoman"/>
      <w:suff w:val="tab"/>
      <w:lvlText w:val="%9."/>
      <w:lvlJc w:val="right"/>
      <w:pPr>
        <w:ind w:hanging="180" w:left="6829"/>
      </w:pPr>
      <w:rPr/>
    </w:lvl>
  </w:abstractNum>
  <w:abstractNum w:abstractNumId="1">
    <w:nsid w:val="62774490"/>
    <w:multiLevelType w:val="hybridMultilevel"/>
    <w:lvl w:ilvl="0" w:tplc="C45EC94A">
      <w:start w:val="1"/>
      <w:numFmt w:val="decimal"/>
      <w:suff w:val="tab"/>
      <w:lvlText w:val="%1)"/>
      <w:lvlJc w:val="left"/>
      <w:pPr>
        <w:ind w:hanging="360" w:left="1020"/>
      </w:pPr>
      <w:rPr/>
    </w:lvl>
    <w:lvl w:ilvl="1" w:tplc="04190019">
      <w:start w:val="1"/>
      <w:numFmt w:val="lowerLetter"/>
      <w:suff w:val="tab"/>
      <w:lvlText w:val="%2."/>
      <w:lvlJc w:val="left"/>
      <w:pPr>
        <w:ind w:hanging="360" w:left="1740"/>
      </w:pPr>
      <w:rPr/>
    </w:lvl>
    <w:lvl w:ilvl="2" w:tplc="0419001B">
      <w:start w:val="1"/>
      <w:numFmt w:val="lowerRoman"/>
      <w:suff w:val="tab"/>
      <w:lvlText w:val="%3."/>
      <w:lvlJc w:val="right"/>
      <w:pPr>
        <w:ind w:hanging="180" w:left="2460"/>
      </w:pPr>
      <w:rPr/>
    </w:lvl>
    <w:lvl w:ilvl="3" w:tplc="0419000F">
      <w:start w:val="1"/>
      <w:numFmt w:val="decimal"/>
      <w:suff w:val="tab"/>
      <w:lvlText w:val="%4."/>
      <w:lvlJc w:val="left"/>
      <w:pPr>
        <w:ind w:hanging="360" w:left="3180"/>
      </w:pPr>
      <w:rPr/>
    </w:lvl>
    <w:lvl w:ilvl="4" w:tplc="04190019">
      <w:start w:val="1"/>
      <w:numFmt w:val="lowerLetter"/>
      <w:suff w:val="tab"/>
      <w:lvlText w:val="%5."/>
      <w:lvlJc w:val="left"/>
      <w:pPr>
        <w:ind w:hanging="360" w:left="3900"/>
      </w:pPr>
      <w:rPr/>
    </w:lvl>
    <w:lvl w:ilvl="5" w:tplc="0419001B">
      <w:start w:val="1"/>
      <w:numFmt w:val="lowerRoman"/>
      <w:suff w:val="tab"/>
      <w:lvlText w:val="%6."/>
      <w:lvlJc w:val="right"/>
      <w:pPr>
        <w:ind w:hanging="180" w:left="4620"/>
      </w:pPr>
      <w:rPr/>
    </w:lvl>
    <w:lvl w:ilvl="6" w:tplc="0419000F">
      <w:start w:val="1"/>
      <w:numFmt w:val="decimal"/>
      <w:suff w:val="tab"/>
      <w:lvlText w:val="%7."/>
      <w:lvlJc w:val="left"/>
      <w:pPr>
        <w:ind w:hanging="360" w:left="5340"/>
      </w:pPr>
      <w:rPr/>
    </w:lvl>
    <w:lvl w:ilvl="7" w:tplc="04190019">
      <w:start w:val="1"/>
      <w:numFmt w:val="lowerLetter"/>
      <w:suff w:val="tab"/>
      <w:lvlText w:val="%8."/>
      <w:lvlJc w:val="left"/>
      <w:pPr>
        <w:ind w:hanging="360" w:left="6060"/>
      </w:pPr>
      <w:rPr/>
    </w:lvl>
    <w:lvl w:ilvl="8" w:tplc="0419001B">
      <w:start w:val="1"/>
      <w:numFmt w:val="lowerRoman"/>
      <w:suff w:val="tab"/>
      <w:lvlText w:val="%9."/>
      <w:lvlJc w:val="right"/>
      <w:pPr>
        <w:ind w:hanging="180" w:left="6780"/>
      </w:pPr>
      <w:rPr/>
    </w:lvl>
  </w:abstractNum>
  <w:num w:numId="1">
    <w:abstractNumId w:val="0"/>
  </w:num>
  <w:num w:numId="2">
    <w:abstractNumId w:val="1"/>
  </w:num>
</w:numbering>
</file>

<file path=word/settings.xml><?xml version="1.0" encoding="utf-8"?>
<w:settings xmlns:w="http://schemas.openxmlformats.org/wordprocessingml/2006/main">
  <w:displayBackgroundShape w:val="0"/>
  <w:defaultTabStop w:val="708"/>
  <w:autoHyphenation w:val="0"/>
  <w:evenAndOddHeaders w:val="0"/>
  <w:clrSchemeMapping/>
</w:settings>
</file>

<file path=word/styles.xml><?xml version="1.0" encoding="utf-8"?>
<w:styles xmlns:w="http://schemas.openxmlformats.org/wordprocessingml/2006/main">
  <w:docDefaults>
    <w:rPrDefault>
      <w:rPr>
        <w:rFonts w:ascii="Calibri" w:hAnsi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vertAlign w:val="baseline"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both"/>
      </w:pPr>
    </w:pPrDefault>
  </w:docDefaults>
  <w:style w:type="paragraph" w:styleId="P0" w:default="1">
    <w:name w:val="Normal"/>
    <w:pPr>
      <w:suppressAutoHyphens w:val="1"/>
      <w:spacing w:after="160" w:beforeAutospacing="0" w:afterAutospacing="0"/>
      <w:jc w:val="left"/>
    </w:pPr>
    <w:rPr>
      <w:rFonts w:ascii="Calibri" w:hAnsi="Calibri"/>
    </w:rPr>
  </w:style>
  <w:style w:type="paragraph" w:styleId="P1">
    <w:name w:val="List Paragraph"/>
    <w:basedOn w:val="P0"/>
    <w:pPr>
      <w:ind w:left="720"/>
    </w:pPr>
    <w:rPr/>
  </w:style>
  <w:style w:type="paragraph" w:styleId="P2">
    <w:name w:val="header"/>
    <w:basedOn w:val="P0"/>
    <w:link w:val="C3"/>
    <w:pPr>
      <w:tabs>
        <w:tab w:val="center" w:pos="4677" w:leader="none"/>
        <w:tab w:val="right" w:pos="9355" w:leader="none"/>
      </w:tabs>
      <w:spacing w:after="0" w:beforeAutospacing="0" w:afterAutospacing="0"/>
    </w:pPr>
    <w:rPr/>
  </w:style>
  <w:style w:type="paragraph" w:styleId="P3">
    <w:name w:val="Balloon Text"/>
    <w:basedOn w:val="P0"/>
    <w:link w:val="C4"/>
    <w:semiHidden/>
    <w:pPr>
      <w:spacing w:after="0" w:beforeAutospacing="0" w:afterAutospacing="0"/>
    </w:pPr>
    <w:rPr>
      <w:rFonts w:ascii="Segoe UI" w:hAnsi="Segoe UI"/>
      <w:sz w:val="18"/>
    </w:rPr>
  </w:style>
  <w:style w:type="character" w:styleId="C0" w:default="1">
    <w:name w:val="Default Paragraph Font"/>
    <w:semiHidden/>
    <w:rPr/>
  </w:style>
  <w:style w:type="character" w:styleId="C1">
    <w:name w:val="Line Number"/>
    <w:basedOn w:val="C0"/>
    <w:semiHidden/>
    <w:rPr/>
  </w:style>
  <w:style w:type="character" w:styleId="C2">
    <w:name w:val="Hyperlink"/>
    <w:rPr>
      <w:color w:val="0000FF"/>
      <w:u w:val="single"/>
    </w:rPr>
  </w:style>
  <w:style w:type="character" w:styleId="C3">
    <w:name w:val="Верхний колонтитул Знак"/>
    <w:basedOn w:val="C0"/>
    <w:link w:val="P2"/>
    <w:rPr/>
  </w:style>
  <w:style w:type="character" w:styleId="C4">
    <w:name w:val="Текст выноски Знак"/>
    <w:basedOn w:val="C0"/>
    <w:link w:val="P3"/>
    <w:semiHidden/>
    <w:rPr>
      <w:rFonts w:ascii="Segoe UI" w:hAnsi="Segoe UI"/>
      <w:sz w:val="18"/>
    </w:rPr>
  </w:style>
  <w:style w:type="table" w:styleId="T0" w:default="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numbering" w:styleId="N0">
    <w:name w:val="No List"/>
  </w:style>
</w:styles>
</file>

<file path=word/_rels/document.xml.rels><?xml version="1.0" encoding="utf-8"?><Relationships xmlns="http://schemas.openxmlformats.org/package/2006/relationships"><Relationship Id="RelHdr1" Type="http://schemas.openxmlformats.org/officeDocument/2006/relationships/header" Target="header1.xml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