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39FAA" w14:textId="77777777" w:rsidR="00147AD1" w:rsidRPr="00147AD1" w:rsidRDefault="00147AD1" w:rsidP="00147AD1">
      <w:pPr>
        <w:spacing w:before="100" w:beforeAutospacing="1" w:after="100" w:afterAutospacing="1" w:line="240" w:lineRule="auto"/>
        <w:outlineLvl w:val="0"/>
        <w:rPr>
          <w:rFonts w:ascii="FranklinGothicBookCRegular" w:eastAsia="Times New Roman" w:hAnsi="FranklinGothicBookCRegular" w:cs="Times New Roman"/>
          <w:color w:val="333333"/>
          <w:kern w:val="36"/>
          <w:sz w:val="60"/>
          <w:szCs w:val="60"/>
          <w:lang w:eastAsia="ru-RU"/>
        </w:rPr>
      </w:pPr>
      <w:r w:rsidRPr="00147AD1">
        <w:rPr>
          <w:rFonts w:ascii="FranklinGothicBookCRegular" w:eastAsia="Times New Roman" w:hAnsi="FranklinGothicBookCRegular" w:cs="Times New Roman"/>
          <w:color w:val="333333"/>
          <w:kern w:val="36"/>
          <w:sz w:val="60"/>
          <w:szCs w:val="60"/>
          <w:lang w:eastAsia="ru-RU"/>
        </w:rPr>
        <w:t>Профилактика сердечно-сосудистых заболеваний</w:t>
      </w:r>
    </w:p>
    <w:p w14:paraId="75F11F23"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Сердечно-сосудистые заболевания (ССЗ) атеросклеротического генеза, особенно ишемическая болезнь сердца (ИБС), остаются основной причиной преждевременной смерти во всем мире. По данным эпидемиологических исследований, профилактика ССЗ высоко эффективна. Снижение смертности от ИБС на 50% связано с воздействием на факторы риска и только на 40% с улучшением лечения.</w:t>
      </w:r>
    </w:p>
    <w:p w14:paraId="3E446E83"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Профилактика ССЗ – это координированный комплекс на общественном и индивидуальном уровне, направленный на устранение или минимизацию влияния ССЗ и связанной с ними инвалидности. Профилактические мероприятия должны проводиться всю жизнь, начиная с рождения и до глубокой старости.</w:t>
      </w:r>
    </w:p>
    <w:p w14:paraId="62506789"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Основные стратегии профилактики:</w:t>
      </w:r>
    </w:p>
    <w:p w14:paraId="41A0EBB4"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Популяционная: изменение образа жизни, экологической обстановки, пропаганда здорового образа жизни;</w:t>
      </w:r>
    </w:p>
    <w:p w14:paraId="557F38AC"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Стратегия высокого риска: превентивные меры, направленные на снижение уровня факторов риска ССЗ. Эти направления профилактики должны взаимно дополнять друг друга.</w:t>
      </w:r>
    </w:p>
    <w:p w14:paraId="0CAE07FD"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Профилактику ССЗ можно условно разделить на две группы:</w:t>
      </w:r>
    </w:p>
    <w:p w14:paraId="0B751ECC"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Первичная профилактика</w:t>
      </w:r>
      <w:r w:rsidRPr="00147AD1">
        <w:rPr>
          <w:rFonts w:ascii="FranklinGothicBookCRegular" w:eastAsia="Times New Roman" w:hAnsi="FranklinGothicBookCRegular" w:cs="Arial"/>
          <w:color w:val="000000"/>
          <w:sz w:val="20"/>
          <w:szCs w:val="20"/>
          <w:lang w:eastAsia="ru-RU"/>
        </w:rPr>
        <w:t xml:space="preserve"> включает рациональный режим труда и </w:t>
      </w:r>
      <w:proofErr w:type="gramStart"/>
      <w:r w:rsidRPr="00147AD1">
        <w:rPr>
          <w:rFonts w:ascii="FranklinGothicBookCRegular" w:eastAsia="Times New Roman" w:hAnsi="FranklinGothicBookCRegular" w:cs="Arial"/>
          <w:color w:val="000000"/>
          <w:sz w:val="20"/>
          <w:szCs w:val="20"/>
          <w:lang w:eastAsia="ru-RU"/>
        </w:rPr>
        <w:t>отдыха,  увеличение</w:t>
      </w:r>
      <w:proofErr w:type="gramEnd"/>
      <w:r w:rsidRPr="00147AD1">
        <w:rPr>
          <w:rFonts w:ascii="FranklinGothicBookCRegular" w:eastAsia="Times New Roman" w:hAnsi="FranklinGothicBookCRegular" w:cs="Arial"/>
          <w:color w:val="000000"/>
          <w:sz w:val="20"/>
          <w:szCs w:val="20"/>
          <w:lang w:eastAsia="ru-RU"/>
        </w:rPr>
        <w:t xml:space="preserve"> физической активности, ограничение поваренной соли, отказ от алкоголя и курения, снижение калорийности пищи и массы тела. </w:t>
      </w:r>
      <w:proofErr w:type="gramStart"/>
      <w:r w:rsidRPr="00147AD1">
        <w:rPr>
          <w:rFonts w:ascii="FranklinGothicBookCRegular" w:eastAsia="Times New Roman" w:hAnsi="FranklinGothicBookCRegular" w:cs="Arial"/>
          <w:color w:val="000000"/>
          <w:sz w:val="20"/>
          <w:szCs w:val="20"/>
          <w:lang w:eastAsia="ru-RU"/>
        </w:rPr>
        <w:t>По сути</w:t>
      </w:r>
      <w:proofErr w:type="gramEnd"/>
      <w:r w:rsidRPr="00147AD1">
        <w:rPr>
          <w:rFonts w:ascii="FranklinGothicBookCRegular" w:eastAsia="Times New Roman" w:hAnsi="FranklinGothicBookCRegular" w:cs="Arial"/>
          <w:color w:val="000000"/>
          <w:sz w:val="20"/>
          <w:szCs w:val="20"/>
          <w:lang w:eastAsia="ru-RU"/>
        </w:rPr>
        <w:t xml:space="preserve"> именно первичная профилактика позволяет сохранить рациональные условия жизнедеятельности человека. </w:t>
      </w:r>
      <w:proofErr w:type="gramStart"/>
      <w:r w:rsidRPr="00147AD1">
        <w:rPr>
          <w:rFonts w:ascii="FranklinGothicBookCRegular" w:eastAsia="Times New Roman" w:hAnsi="FranklinGothicBookCRegular" w:cs="Arial"/>
          <w:color w:val="000000"/>
          <w:sz w:val="20"/>
          <w:szCs w:val="20"/>
          <w:lang w:eastAsia="ru-RU"/>
        </w:rPr>
        <w:t>По сути</w:t>
      </w:r>
      <w:proofErr w:type="gramEnd"/>
      <w:r w:rsidRPr="00147AD1">
        <w:rPr>
          <w:rFonts w:ascii="FranklinGothicBookCRegular" w:eastAsia="Times New Roman" w:hAnsi="FranklinGothicBookCRegular" w:cs="Arial"/>
          <w:color w:val="000000"/>
          <w:sz w:val="20"/>
          <w:szCs w:val="20"/>
          <w:lang w:eastAsia="ru-RU"/>
        </w:rPr>
        <w:t xml:space="preserve"> к первичной профилактике ССЗ относится популяционная стратегия и стратегия высокого риска. </w:t>
      </w:r>
      <w:r w:rsidRPr="00147AD1">
        <w:rPr>
          <w:rFonts w:ascii="FranklinGothicBookCRegular" w:eastAsia="Times New Roman" w:hAnsi="FranklinGothicBookCRegular" w:cs="Arial"/>
          <w:color w:val="000000"/>
          <w:sz w:val="20"/>
          <w:szCs w:val="20"/>
          <w:lang w:eastAsia="ru-RU"/>
        </w:rPr>
        <w:br/>
      </w:r>
      <w:r w:rsidRPr="00147AD1">
        <w:rPr>
          <w:rFonts w:ascii="FranklinGothicDemiCondCRegular" w:eastAsia="Times New Roman" w:hAnsi="FranklinGothicDemiCondCRegular" w:cs="Arial"/>
          <w:b/>
          <w:bCs/>
          <w:color w:val="000000"/>
          <w:sz w:val="20"/>
          <w:szCs w:val="20"/>
          <w:lang w:eastAsia="ru-RU"/>
        </w:rPr>
        <w:t>Вторичная (</w:t>
      </w:r>
      <w:proofErr w:type="spellStart"/>
      <w:r w:rsidRPr="00147AD1">
        <w:rPr>
          <w:rFonts w:ascii="FranklinGothicDemiCondCRegular" w:eastAsia="Times New Roman" w:hAnsi="FranklinGothicDemiCondCRegular" w:cs="Arial"/>
          <w:b/>
          <w:bCs/>
          <w:color w:val="000000"/>
          <w:sz w:val="20"/>
          <w:szCs w:val="20"/>
          <w:lang w:eastAsia="ru-RU"/>
        </w:rPr>
        <w:t>медикаментгозная</w:t>
      </w:r>
      <w:proofErr w:type="spellEnd"/>
      <w:r w:rsidRPr="00147AD1">
        <w:rPr>
          <w:rFonts w:ascii="FranklinGothicDemiCondCRegular" w:eastAsia="Times New Roman" w:hAnsi="FranklinGothicDemiCondCRegular" w:cs="Arial"/>
          <w:b/>
          <w:bCs/>
          <w:color w:val="000000"/>
          <w:sz w:val="20"/>
          <w:szCs w:val="20"/>
          <w:lang w:eastAsia="ru-RU"/>
        </w:rPr>
        <w:t xml:space="preserve"> и немедикаментозная)  профилактика </w:t>
      </w:r>
      <w:r w:rsidRPr="00147AD1">
        <w:rPr>
          <w:rFonts w:ascii="FranklinGothicBookCRegular" w:eastAsia="Times New Roman" w:hAnsi="FranklinGothicBookCRegular" w:cs="Arial"/>
          <w:color w:val="000000"/>
          <w:sz w:val="20"/>
          <w:szCs w:val="20"/>
          <w:lang w:eastAsia="ru-RU"/>
        </w:rPr>
        <w:t>проводится дифференцированно с группами пациентов с верифицированными ССЗ с целью предупреждения рецидивов заболеваний, развития осложнений у лиц  с реализованными факторами риска, снижения заболеваемости и смертности  от этих болезней, улучшения качества  жизни пациентов.</w:t>
      </w:r>
      <w:r w:rsidRPr="00147AD1">
        <w:rPr>
          <w:rFonts w:ascii="FranklinGothicBookCRegular" w:eastAsia="Times New Roman" w:hAnsi="FranklinGothicBookCRegular" w:cs="Arial"/>
          <w:color w:val="000000"/>
          <w:sz w:val="20"/>
          <w:szCs w:val="20"/>
          <w:lang w:eastAsia="ru-RU"/>
        </w:rPr>
        <w:br/>
        <w:t xml:space="preserve">По данным ВОЗ, наибольший вклад в риск внезапной смерти вносят три основных фактора риска: артериальная гипертензия, </w:t>
      </w:r>
      <w:proofErr w:type="spellStart"/>
      <w:r w:rsidRPr="00147AD1">
        <w:rPr>
          <w:rFonts w:ascii="FranklinGothicBookCRegular" w:eastAsia="Times New Roman" w:hAnsi="FranklinGothicBookCRegular" w:cs="Arial"/>
          <w:color w:val="000000"/>
          <w:sz w:val="20"/>
          <w:szCs w:val="20"/>
          <w:lang w:eastAsia="ru-RU"/>
        </w:rPr>
        <w:t>гиперхолестеринемия</w:t>
      </w:r>
      <w:proofErr w:type="spellEnd"/>
      <w:r w:rsidRPr="00147AD1">
        <w:rPr>
          <w:rFonts w:ascii="FranklinGothicBookCRegular" w:eastAsia="Times New Roman" w:hAnsi="FranklinGothicBookCRegular" w:cs="Arial"/>
          <w:color w:val="000000"/>
          <w:sz w:val="20"/>
          <w:szCs w:val="20"/>
          <w:lang w:eastAsia="ru-RU"/>
        </w:rPr>
        <w:t xml:space="preserve"> (дислипидемия) и курение.</w:t>
      </w:r>
      <w:r w:rsidRPr="00147AD1">
        <w:rPr>
          <w:rFonts w:ascii="FranklinGothicBookCRegular" w:eastAsia="Times New Roman" w:hAnsi="FranklinGothicBookCRegular" w:cs="Arial"/>
          <w:color w:val="000000"/>
          <w:sz w:val="20"/>
          <w:szCs w:val="20"/>
          <w:lang w:eastAsia="ru-RU"/>
        </w:rPr>
        <w:br/>
      </w:r>
      <w:r w:rsidRPr="00147AD1">
        <w:rPr>
          <w:rFonts w:ascii="FranklinGothicBookCRegular" w:eastAsia="Times New Roman" w:hAnsi="FranklinGothicBookCRegular" w:cs="Arial"/>
          <w:color w:val="000000"/>
          <w:sz w:val="20"/>
          <w:szCs w:val="20"/>
          <w:lang w:eastAsia="ru-RU"/>
        </w:rPr>
        <w:br/>
      </w:r>
      <w:r w:rsidRPr="00147AD1">
        <w:rPr>
          <w:rFonts w:ascii="FranklinGothicDemiCondCRegular" w:eastAsia="Times New Roman" w:hAnsi="FranklinGothicDemiCondCRegular" w:cs="Arial"/>
          <w:b/>
          <w:bCs/>
          <w:color w:val="000000"/>
          <w:sz w:val="20"/>
          <w:szCs w:val="20"/>
          <w:lang w:eastAsia="ru-RU"/>
        </w:rPr>
        <w:t>Классификация факторов риска ССЗ:</w:t>
      </w:r>
    </w:p>
    <w:p w14:paraId="272B4031"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Биологические (</w:t>
      </w:r>
      <w:proofErr w:type="spellStart"/>
      <w:r w:rsidRPr="00147AD1">
        <w:rPr>
          <w:rFonts w:ascii="FranklinGothicDemiCondCRegular" w:eastAsia="Times New Roman" w:hAnsi="FranklinGothicDemiCondCRegular" w:cs="Arial"/>
          <w:b/>
          <w:bCs/>
          <w:color w:val="000000"/>
          <w:sz w:val="20"/>
          <w:szCs w:val="20"/>
          <w:lang w:eastAsia="ru-RU"/>
        </w:rPr>
        <w:t>немодифицируемые</w:t>
      </w:r>
      <w:proofErr w:type="spellEnd"/>
      <w:r w:rsidRPr="00147AD1">
        <w:rPr>
          <w:rFonts w:ascii="FranklinGothicDemiCondCRegular" w:eastAsia="Times New Roman" w:hAnsi="FranklinGothicDemiCondCRegular" w:cs="Arial"/>
          <w:b/>
          <w:bCs/>
          <w:color w:val="000000"/>
          <w:sz w:val="20"/>
          <w:szCs w:val="20"/>
          <w:lang w:eastAsia="ru-RU"/>
        </w:rPr>
        <w:t>) факторы</w:t>
      </w:r>
      <w:r w:rsidRPr="00147AD1">
        <w:rPr>
          <w:rFonts w:ascii="FranklinGothicBookCRegular" w:eastAsia="Times New Roman" w:hAnsi="FranklinGothicBookCRegular" w:cs="Arial"/>
          <w:color w:val="000000"/>
          <w:sz w:val="20"/>
          <w:szCs w:val="20"/>
          <w:lang w:eastAsia="ru-RU"/>
        </w:rPr>
        <w:t>:</w:t>
      </w:r>
    </w:p>
    <w:p w14:paraId="414A679A"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lastRenderedPageBreak/>
        <w:t>- Возраст, пол, наследственность (раннее развитие ССЗ у родственников), генетические факторы, способствующие возникновению дислипидемии, гипертензии, толерантности к глюкозе, сахарному диабету и ожирению</w:t>
      </w:r>
    </w:p>
    <w:p w14:paraId="5E754394"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 Анатомические, физиологические и метаболические (биохимические) особенности:</w:t>
      </w:r>
      <w:r w:rsidRPr="00147AD1">
        <w:rPr>
          <w:rFonts w:ascii="FranklinGothicBookCRegular" w:eastAsia="Times New Roman" w:hAnsi="FranklinGothicBookCRegular" w:cs="Arial"/>
          <w:color w:val="000000"/>
          <w:sz w:val="20"/>
          <w:szCs w:val="20"/>
          <w:lang w:eastAsia="ru-RU"/>
        </w:rPr>
        <w:br/>
        <w:t>дислипидемия, ожирение и характер распределения жира в организме, сахарный диабет.</w:t>
      </w:r>
    </w:p>
    <w:p w14:paraId="53AE6D4A"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Поведенческие (модифицируемые) факторы:</w:t>
      </w:r>
    </w:p>
    <w:p w14:paraId="65A398A1"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 Пищевые привычки, курение, двигательная активность, употребление алкоголя, подверженность стрессам.</w:t>
      </w:r>
    </w:p>
    <w:p w14:paraId="50235624"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Наличие даже одного из факторов риска увеличивает смертность мужчин в возрасте 50-69 лет в 3,5 раза, а сочетанное действие нескольких факторов - в 5-7 раз. Таким образом, для воздействия на факторы риска ССЗ, необходимо у каждого индивидуума мотивировать формирование здорового образа жизни.</w:t>
      </w:r>
    </w:p>
    <w:p w14:paraId="76AC945E"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Мероприятия, формирующие здоровый образ жизни и снижающие уровень ФР:</w:t>
      </w:r>
    </w:p>
    <w:p w14:paraId="55C4CC90" w14:textId="77777777" w:rsidR="00147AD1" w:rsidRPr="00147AD1" w:rsidRDefault="00147AD1" w:rsidP="00147AD1">
      <w:pPr>
        <w:numPr>
          <w:ilvl w:val="0"/>
          <w:numId w:val="1"/>
        </w:num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u w:val="single"/>
          <w:lang w:eastAsia="ru-RU"/>
        </w:rPr>
        <w:t>Отказаться от курения</w:t>
      </w:r>
      <w:r w:rsidRPr="00147AD1">
        <w:rPr>
          <w:rFonts w:ascii="FranklinGothicBookCRegular" w:eastAsia="Times New Roman" w:hAnsi="FranklinGothicBookCRegular" w:cs="Arial"/>
          <w:color w:val="000000"/>
          <w:sz w:val="20"/>
          <w:szCs w:val="20"/>
          <w:lang w:eastAsia="ru-RU"/>
        </w:rPr>
        <w:t xml:space="preserve"> (не курящим от пребывания в помещениях для курения (пассивное курение). Если человек выкуривает 5 сигарет в день </w:t>
      </w:r>
      <w:proofErr w:type="gramStart"/>
      <w:r w:rsidRPr="00147AD1">
        <w:rPr>
          <w:rFonts w:ascii="FranklinGothicBookCRegular" w:eastAsia="Times New Roman" w:hAnsi="FranklinGothicBookCRegular" w:cs="Arial"/>
          <w:color w:val="000000"/>
          <w:sz w:val="20"/>
          <w:szCs w:val="20"/>
          <w:lang w:eastAsia="ru-RU"/>
        </w:rPr>
        <w:t>-  увеличивается</w:t>
      </w:r>
      <w:proofErr w:type="gramEnd"/>
      <w:r w:rsidRPr="00147AD1">
        <w:rPr>
          <w:rFonts w:ascii="FranklinGothicBookCRegular" w:eastAsia="Times New Roman" w:hAnsi="FranklinGothicBookCRegular" w:cs="Arial"/>
          <w:color w:val="000000"/>
          <w:sz w:val="20"/>
          <w:szCs w:val="20"/>
          <w:lang w:eastAsia="ru-RU"/>
        </w:rPr>
        <w:t xml:space="preserve"> риск смерти на 40%, если одну пачку в день - на 400%, то есть шансов умереть в 10 раз больше!</w:t>
      </w:r>
      <w:r w:rsidRPr="00147AD1">
        <w:rPr>
          <w:rFonts w:ascii="FranklinGothicBookCRegular" w:eastAsia="Times New Roman" w:hAnsi="FranklinGothicBookCRegular" w:cs="Arial"/>
          <w:color w:val="000000"/>
          <w:sz w:val="20"/>
          <w:szCs w:val="20"/>
          <w:lang w:eastAsia="ru-RU"/>
        </w:rPr>
        <w:br/>
        <w:t>В Республике Беларусь табакокурение является опосредованной причиной смерти каждого пятого случая смерти лиц старше 35 лет. </w:t>
      </w:r>
    </w:p>
    <w:p w14:paraId="79E8983C" w14:textId="77777777" w:rsidR="00147AD1" w:rsidRPr="00147AD1" w:rsidRDefault="00147AD1" w:rsidP="00147AD1">
      <w:pPr>
        <w:numPr>
          <w:ilvl w:val="0"/>
          <w:numId w:val="1"/>
        </w:num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u w:val="single"/>
          <w:lang w:eastAsia="ru-RU"/>
        </w:rPr>
        <w:t xml:space="preserve">Соблюдать </w:t>
      </w:r>
      <w:proofErr w:type="spellStart"/>
      <w:r w:rsidRPr="00147AD1">
        <w:rPr>
          <w:rFonts w:ascii="FranklinGothicDemiCondCRegular" w:eastAsia="Times New Roman" w:hAnsi="FranklinGothicDemiCondCRegular" w:cs="Arial"/>
          <w:b/>
          <w:bCs/>
          <w:color w:val="000000"/>
          <w:sz w:val="20"/>
          <w:szCs w:val="20"/>
          <w:u w:val="single"/>
          <w:lang w:eastAsia="ru-RU"/>
        </w:rPr>
        <w:t>гипохолестериновую</w:t>
      </w:r>
      <w:proofErr w:type="spellEnd"/>
      <w:r w:rsidRPr="00147AD1">
        <w:rPr>
          <w:rFonts w:ascii="FranklinGothicDemiCondCRegular" w:eastAsia="Times New Roman" w:hAnsi="FranklinGothicDemiCondCRegular" w:cs="Arial"/>
          <w:b/>
          <w:bCs/>
          <w:color w:val="000000"/>
          <w:sz w:val="20"/>
          <w:szCs w:val="20"/>
          <w:u w:val="single"/>
          <w:lang w:eastAsia="ru-RU"/>
        </w:rPr>
        <w:t xml:space="preserve"> диету</w:t>
      </w:r>
      <w:r w:rsidRPr="00147AD1">
        <w:rPr>
          <w:rFonts w:ascii="FranklinGothicDemiCondCRegular" w:eastAsia="Times New Roman" w:hAnsi="FranklinGothicDemiCondCRegular" w:cs="Arial"/>
          <w:b/>
          <w:bCs/>
          <w:color w:val="000000"/>
          <w:sz w:val="20"/>
          <w:szCs w:val="20"/>
          <w:lang w:eastAsia="ru-RU"/>
        </w:rPr>
        <w:t>:</w:t>
      </w:r>
      <w:r w:rsidRPr="00147AD1">
        <w:rPr>
          <w:rFonts w:ascii="FranklinGothicBookCRegular" w:eastAsia="Times New Roman" w:hAnsi="FranklinGothicBookCRegular" w:cs="Arial"/>
          <w:color w:val="000000"/>
          <w:sz w:val="20"/>
          <w:szCs w:val="20"/>
          <w:lang w:eastAsia="ru-RU"/>
        </w:rPr>
        <w:t> снижение насыщенных жиров (уменьшение потребления жирных сортов свинины, введение в рацион питания мясо индейки, кролика, с низким содержанием холестерина), акцент на цельно зерновые продукты, овощи (рекомендуется до 5 порций в день), фрукты и рыбу. Следует использовать мягкий маргарин, подсолнечное, кукурузное, рапсовое или оливковое масла. Общее содержание жиров должно быть не более 30% общего энергетического состава, а содержание насыщенных жиров не должно превышать 1/3 всех потребляемых жиров.</w:t>
      </w:r>
      <w:r w:rsidRPr="00147AD1">
        <w:rPr>
          <w:rFonts w:ascii="FranklinGothicBookCRegular" w:eastAsia="Times New Roman" w:hAnsi="FranklinGothicBookCRegular" w:cs="Arial"/>
          <w:color w:val="000000"/>
          <w:sz w:val="20"/>
          <w:szCs w:val="20"/>
          <w:lang w:eastAsia="ru-RU"/>
        </w:rPr>
        <w:br/>
      </w:r>
      <w:r w:rsidRPr="00147AD1">
        <w:rPr>
          <w:rFonts w:ascii="FranklinGothicDemiCondCRegular" w:eastAsia="Times New Roman" w:hAnsi="FranklinGothicDemiCondCRegular" w:cs="Arial"/>
          <w:b/>
          <w:bCs/>
          <w:color w:val="000000"/>
          <w:sz w:val="20"/>
          <w:szCs w:val="20"/>
          <w:lang w:eastAsia="ru-RU"/>
        </w:rPr>
        <w:t>3.</w:t>
      </w:r>
      <w:r w:rsidRPr="00147AD1">
        <w:rPr>
          <w:rFonts w:ascii="FranklinGothicBookCRegular" w:eastAsia="Times New Roman" w:hAnsi="FranklinGothicBookCRegular" w:cs="Arial"/>
          <w:color w:val="000000"/>
          <w:sz w:val="20"/>
          <w:szCs w:val="20"/>
          <w:lang w:eastAsia="ru-RU"/>
        </w:rPr>
        <w:t> </w:t>
      </w:r>
      <w:r w:rsidRPr="00147AD1">
        <w:rPr>
          <w:rFonts w:ascii="FranklinGothicDemiCondCRegular" w:eastAsia="Times New Roman" w:hAnsi="FranklinGothicDemiCondCRegular" w:cs="Arial"/>
          <w:b/>
          <w:bCs/>
          <w:color w:val="000000"/>
          <w:sz w:val="20"/>
          <w:szCs w:val="20"/>
          <w:u w:val="single"/>
          <w:lang w:eastAsia="ru-RU"/>
        </w:rPr>
        <w:t>Уменьшить потребление поваренной соли до 5 г/сутки.</w:t>
      </w:r>
      <w:r w:rsidRPr="00147AD1">
        <w:rPr>
          <w:rFonts w:ascii="FranklinGothicBookCRegular" w:eastAsia="Times New Roman" w:hAnsi="FranklinGothicBookCRegular" w:cs="Arial"/>
          <w:color w:val="000000"/>
          <w:sz w:val="20"/>
          <w:szCs w:val="20"/>
          <w:lang w:eastAsia="ru-RU"/>
        </w:rPr>
        <w:t xml:space="preserve"> Сократить употребление продуктов, содержащих «скрытую» соль: копченые и вареные колбасные изделия, хлеб. Исследования ученых показали, что, если ограничить употребление соли, риск инфаркта миокарда и других сердечных катастроф может снизиться на 25 %.  Очень полезно увеличить употребление продуктов, содержащих калий и магний (морская капуста, изюм, </w:t>
      </w:r>
      <w:proofErr w:type="gramStart"/>
      <w:r w:rsidRPr="00147AD1">
        <w:rPr>
          <w:rFonts w:ascii="FranklinGothicBookCRegular" w:eastAsia="Times New Roman" w:hAnsi="FranklinGothicBookCRegular" w:cs="Arial"/>
          <w:color w:val="000000"/>
          <w:sz w:val="20"/>
          <w:szCs w:val="20"/>
          <w:lang w:eastAsia="ru-RU"/>
        </w:rPr>
        <w:t>свекла,  абрикосы</w:t>
      </w:r>
      <w:proofErr w:type="gramEnd"/>
      <w:r w:rsidRPr="00147AD1">
        <w:rPr>
          <w:rFonts w:ascii="FranklinGothicBookCRegular" w:eastAsia="Times New Roman" w:hAnsi="FranklinGothicBookCRegular" w:cs="Arial"/>
          <w:color w:val="000000"/>
          <w:sz w:val="20"/>
          <w:szCs w:val="20"/>
          <w:lang w:eastAsia="ru-RU"/>
        </w:rPr>
        <w:t>, кабачки, тыква, гречка).</w:t>
      </w:r>
      <w:r w:rsidRPr="00147AD1">
        <w:rPr>
          <w:rFonts w:ascii="FranklinGothicBookCRegular" w:eastAsia="Times New Roman" w:hAnsi="FranklinGothicBookCRegular" w:cs="Arial"/>
          <w:color w:val="000000"/>
          <w:sz w:val="20"/>
          <w:szCs w:val="20"/>
          <w:lang w:eastAsia="ru-RU"/>
        </w:rPr>
        <w:br/>
      </w:r>
      <w:r w:rsidRPr="00147AD1">
        <w:rPr>
          <w:rFonts w:ascii="FranklinGothicDemiCondCRegular" w:eastAsia="Times New Roman" w:hAnsi="FranklinGothicDemiCondCRegular" w:cs="Arial"/>
          <w:b/>
          <w:bCs/>
          <w:color w:val="000000"/>
          <w:sz w:val="20"/>
          <w:szCs w:val="20"/>
          <w:lang w:eastAsia="ru-RU"/>
        </w:rPr>
        <w:t>Рациональное питание</w:t>
      </w:r>
      <w:r w:rsidRPr="00147AD1">
        <w:rPr>
          <w:rFonts w:ascii="FranklinGothicBookCRegular" w:eastAsia="Times New Roman" w:hAnsi="FranklinGothicBookCRegular" w:cs="Arial"/>
          <w:color w:val="000000"/>
          <w:sz w:val="20"/>
          <w:szCs w:val="20"/>
          <w:lang w:eastAsia="ru-RU"/>
        </w:rPr>
        <w:t>- это сбалансированное, регулярное (не реже 4 раз в день) питание с ограничением потребления соли.</w:t>
      </w:r>
    </w:p>
    <w:p w14:paraId="6B253386" w14:textId="77777777" w:rsidR="00147AD1" w:rsidRPr="00147AD1" w:rsidRDefault="00147AD1" w:rsidP="00147AD1">
      <w:pPr>
        <w:numPr>
          <w:ilvl w:val="0"/>
          <w:numId w:val="1"/>
        </w:num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u w:val="single"/>
          <w:lang w:eastAsia="ru-RU"/>
        </w:rPr>
        <w:t>Снижать избыточный вес.</w:t>
      </w:r>
      <w:r w:rsidRPr="00147AD1">
        <w:rPr>
          <w:rFonts w:ascii="FranklinGothicBookCRegular" w:eastAsia="Times New Roman" w:hAnsi="FranklinGothicBookCRegular" w:cs="Arial"/>
          <w:color w:val="000000"/>
          <w:sz w:val="20"/>
          <w:szCs w:val="20"/>
          <w:lang w:eastAsia="ru-RU"/>
        </w:rPr>
        <w:t xml:space="preserve"> Избыточный вес повышает риск развития ИБС и других заболеваний, связанных с атеросклерозом. Обращает на себя внимание тот факт, что более 12% </w:t>
      </w:r>
      <w:r w:rsidRPr="00147AD1">
        <w:rPr>
          <w:rFonts w:ascii="FranklinGothicBookCRegular" w:eastAsia="Times New Roman" w:hAnsi="FranklinGothicBookCRegular" w:cs="Arial"/>
          <w:color w:val="000000"/>
          <w:sz w:val="20"/>
          <w:szCs w:val="20"/>
          <w:lang w:eastAsia="ru-RU"/>
        </w:rPr>
        <w:lastRenderedPageBreak/>
        <w:t>населения вообще не знает своего веса. Распространенность избыточной массы тела увеличивается с возрастом. Для оценки своего веса используйте простую формулу определения индекса массы тела </w:t>
      </w:r>
      <w:r w:rsidRPr="00147AD1">
        <w:rPr>
          <w:rFonts w:ascii="FranklinGothicDemiCondCRegular" w:eastAsia="Times New Roman" w:hAnsi="FranklinGothicDemiCondCRegular" w:cs="Arial"/>
          <w:b/>
          <w:bCs/>
          <w:color w:val="000000"/>
          <w:sz w:val="20"/>
          <w:szCs w:val="20"/>
          <w:lang w:eastAsia="ru-RU"/>
        </w:rPr>
        <w:t>(ИМТ) = вес (кг) /рост (м </w:t>
      </w:r>
      <w:r w:rsidRPr="00147AD1">
        <w:rPr>
          <w:rFonts w:ascii="FranklinGothicDemiCondCRegular" w:eastAsia="Times New Roman" w:hAnsi="FranklinGothicDemiCondCRegular" w:cs="Arial"/>
          <w:b/>
          <w:bCs/>
          <w:color w:val="000000"/>
          <w:sz w:val="20"/>
          <w:szCs w:val="20"/>
          <w:vertAlign w:val="superscript"/>
          <w:lang w:eastAsia="ru-RU"/>
        </w:rPr>
        <w:t>2</w:t>
      </w:r>
      <w:r w:rsidRPr="00147AD1">
        <w:rPr>
          <w:rFonts w:ascii="FranklinGothicDemiCondCRegular" w:eastAsia="Times New Roman" w:hAnsi="FranklinGothicDemiCondCRegular" w:cs="Arial"/>
          <w:b/>
          <w:bCs/>
          <w:color w:val="000000"/>
          <w:sz w:val="20"/>
          <w:szCs w:val="20"/>
          <w:lang w:eastAsia="ru-RU"/>
        </w:rPr>
        <w:t>). </w:t>
      </w:r>
    </w:p>
    <w:p w14:paraId="0D369418"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ИМТ</w:t>
      </w:r>
      <w:r w:rsidRPr="00147AD1">
        <w:rPr>
          <w:rFonts w:ascii="FranklinGothicBookCRegular" w:eastAsia="Times New Roman" w:hAnsi="FranklinGothicBookCRegular" w:cs="Arial"/>
          <w:color w:val="000000"/>
          <w:sz w:val="20"/>
          <w:szCs w:val="20"/>
          <w:lang w:eastAsia="ru-RU"/>
        </w:rPr>
        <w:t xml:space="preserve"> до 24,9 </w:t>
      </w:r>
      <w:proofErr w:type="gramStart"/>
      <w:r w:rsidRPr="00147AD1">
        <w:rPr>
          <w:rFonts w:ascii="FranklinGothicBookCRegular" w:eastAsia="Times New Roman" w:hAnsi="FranklinGothicBookCRegular" w:cs="Arial"/>
          <w:color w:val="000000"/>
          <w:sz w:val="20"/>
          <w:szCs w:val="20"/>
          <w:lang w:eastAsia="ru-RU"/>
        </w:rPr>
        <w:t>- это</w:t>
      </w:r>
      <w:proofErr w:type="gramEnd"/>
      <w:r w:rsidRPr="00147AD1">
        <w:rPr>
          <w:rFonts w:ascii="FranklinGothicBookCRegular" w:eastAsia="Times New Roman" w:hAnsi="FranklinGothicBookCRegular" w:cs="Arial"/>
          <w:color w:val="000000"/>
          <w:sz w:val="20"/>
          <w:szCs w:val="20"/>
          <w:lang w:eastAsia="ru-RU"/>
        </w:rPr>
        <w:t xml:space="preserve"> нормальная масса тела;</w:t>
      </w:r>
    </w:p>
    <w:p w14:paraId="01DC0C4D"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25-29,9 – избыточная масса тела;</w:t>
      </w:r>
    </w:p>
    <w:p w14:paraId="71D0A68F"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30-34,9 – ожирение I степени;</w:t>
      </w:r>
    </w:p>
    <w:p w14:paraId="6C92ABD1"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35-39,9 – ожирение II степени;</w:t>
      </w:r>
    </w:p>
    <w:p w14:paraId="51D66909"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40 и более – ожирение III степени.</w:t>
      </w:r>
    </w:p>
    <w:p w14:paraId="29885EB4"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Причем, более опасно так называемое центральное ожирение (мужского типа), когда жир откладывается на животе. О наличии центрального ожирения можно судить по окружности талии (ОТ) и отношению окружности талии к окружности бедер. Риск ССЗ повышается у мужчин с ОТ больше 94 см и, особенно, при окружности больше 102 см, у женщин - соответственно больше 80 см и 88 см. Отношение окружности талии к окружности бедер у мужчин больше 1,0 и у женщин больше 0,85 является более точным показателем центрального типа ожирения.</w:t>
      </w:r>
    </w:p>
    <w:p w14:paraId="6FA5F076"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 xml:space="preserve">Для мужчин с ОТ </w:t>
      </w:r>
      <w:proofErr w:type="gramStart"/>
      <w:r w:rsidRPr="00147AD1">
        <w:rPr>
          <w:rFonts w:ascii="FranklinGothicDemiCondCRegular" w:eastAsia="Times New Roman" w:hAnsi="FranklinGothicDemiCondCRegular" w:cs="Arial"/>
          <w:b/>
          <w:bCs/>
          <w:color w:val="000000"/>
          <w:sz w:val="20"/>
          <w:szCs w:val="20"/>
          <w:lang w:eastAsia="ru-RU"/>
        </w:rPr>
        <w:t>&lt; 102</w:t>
      </w:r>
      <w:proofErr w:type="gramEnd"/>
      <w:r w:rsidRPr="00147AD1">
        <w:rPr>
          <w:rFonts w:ascii="FranklinGothicDemiCondCRegular" w:eastAsia="Times New Roman" w:hAnsi="FranklinGothicDemiCondCRegular" w:cs="Arial"/>
          <w:b/>
          <w:bCs/>
          <w:color w:val="000000"/>
          <w:sz w:val="20"/>
          <w:szCs w:val="20"/>
          <w:lang w:eastAsia="ru-RU"/>
        </w:rPr>
        <w:t xml:space="preserve"> см и женщин с ОТ &lt; 88 см и/или ИМТ &lt; 30 кг/ м </w:t>
      </w:r>
      <w:r w:rsidRPr="00147AD1">
        <w:rPr>
          <w:rFonts w:ascii="FranklinGothicDemiCondCRegular" w:eastAsia="Times New Roman" w:hAnsi="FranklinGothicDemiCondCRegular" w:cs="Arial"/>
          <w:b/>
          <w:bCs/>
          <w:color w:val="000000"/>
          <w:sz w:val="20"/>
          <w:szCs w:val="20"/>
          <w:vertAlign w:val="superscript"/>
          <w:lang w:eastAsia="ru-RU"/>
        </w:rPr>
        <w:t>2  </w:t>
      </w:r>
      <w:r w:rsidRPr="00147AD1">
        <w:rPr>
          <w:rFonts w:ascii="FranklinGothicDemiCondCRegular" w:eastAsia="Times New Roman" w:hAnsi="FranklinGothicDemiCondCRegular" w:cs="Arial"/>
          <w:b/>
          <w:bCs/>
          <w:color w:val="000000"/>
          <w:sz w:val="20"/>
          <w:szCs w:val="20"/>
          <w:lang w:eastAsia="ru-RU"/>
        </w:rPr>
        <w:t>рекомендуется не набирать вес.</w:t>
      </w:r>
    </w:p>
    <w:p w14:paraId="4C06CD3C"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Для мужчин с ОТ ≥ 102 см и женщин с ОТ ≥ 88 см и/или ИМТ ≥ 30 кг/ м </w:t>
      </w:r>
      <w:proofErr w:type="gramStart"/>
      <w:r w:rsidRPr="00147AD1">
        <w:rPr>
          <w:rFonts w:ascii="FranklinGothicDemiCondCRegular" w:eastAsia="Times New Roman" w:hAnsi="FranklinGothicDemiCondCRegular" w:cs="Arial"/>
          <w:b/>
          <w:bCs/>
          <w:color w:val="000000"/>
          <w:sz w:val="20"/>
          <w:szCs w:val="20"/>
          <w:vertAlign w:val="superscript"/>
          <w:lang w:eastAsia="ru-RU"/>
        </w:rPr>
        <w:t>2  </w:t>
      </w:r>
      <w:r w:rsidRPr="00147AD1">
        <w:rPr>
          <w:rFonts w:ascii="FranklinGothicDemiCondCRegular" w:eastAsia="Times New Roman" w:hAnsi="FranklinGothicDemiCondCRegular" w:cs="Arial"/>
          <w:b/>
          <w:bCs/>
          <w:color w:val="000000"/>
          <w:sz w:val="20"/>
          <w:szCs w:val="20"/>
          <w:lang w:eastAsia="ru-RU"/>
        </w:rPr>
        <w:t>рекомендуется</w:t>
      </w:r>
      <w:proofErr w:type="gramEnd"/>
      <w:r w:rsidRPr="00147AD1">
        <w:rPr>
          <w:rFonts w:ascii="FranklinGothicDemiCondCRegular" w:eastAsia="Times New Roman" w:hAnsi="FranklinGothicDemiCondCRegular" w:cs="Arial"/>
          <w:b/>
          <w:bCs/>
          <w:color w:val="000000"/>
          <w:sz w:val="20"/>
          <w:szCs w:val="20"/>
          <w:lang w:eastAsia="ru-RU"/>
        </w:rPr>
        <w:t xml:space="preserve"> снижать массу тела.</w:t>
      </w:r>
    </w:p>
    <w:p w14:paraId="3BFC6611"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u w:val="single"/>
          <w:lang w:eastAsia="ru-RU"/>
        </w:rPr>
        <w:t>5.Контролировать АД. </w:t>
      </w:r>
      <w:r w:rsidRPr="00147AD1">
        <w:rPr>
          <w:rFonts w:ascii="FranklinGothicBookCRegular" w:eastAsia="Times New Roman" w:hAnsi="FranklinGothicBookCRegular" w:cs="Arial"/>
          <w:color w:val="000000"/>
          <w:sz w:val="20"/>
          <w:szCs w:val="20"/>
          <w:lang w:eastAsia="ru-RU"/>
        </w:rPr>
        <w:t>Поддерживать уровень АД не выше 140/90 мм рт. ст.</w:t>
      </w:r>
    </w:p>
    <w:p w14:paraId="5CE469E6"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6.</w:t>
      </w:r>
      <w:r w:rsidRPr="00147AD1">
        <w:rPr>
          <w:rFonts w:ascii="FranklinGothicDemiCondCRegular" w:eastAsia="Times New Roman" w:hAnsi="FranklinGothicDemiCondCRegular" w:cs="Arial"/>
          <w:b/>
          <w:bCs/>
          <w:color w:val="000000"/>
          <w:sz w:val="20"/>
          <w:szCs w:val="20"/>
          <w:u w:val="single"/>
          <w:lang w:eastAsia="ru-RU"/>
        </w:rPr>
        <w:t>Увеличивать физическую активность.</w:t>
      </w:r>
      <w:r w:rsidRPr="00147AD1">
        <w:rPr>
          <w:rFonts w:ascii="FranklinGothicBookCRegular" w:eastAsia="Times New Roman" w:hAnsi="FranklinGothicBookCRegular" w:cs="Arial"/>
          <w:color w:val="000000"/>
          <w:sz w:val="20"/>
          <w:szCs w:val="20"/>
          <w:lang w:eastAsia="ru-RU"/>
        </w:rPr>
        <w:t> Не менее 150 минут в неделю средней аэробной (ходьба, плавание, велосипед) физической активности (по 30 минут в день 5 раз в неделю) или 75 минут в неделю интенсивной физической активности или комбинация.</w:t>
      </w:r>
    </w:p>
    <w:p w14:paraId="41BF8096"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lang w:eastAsia="ru-RU"/>
        </w:rPr>
        <w:t>7.</w:t>
      </w:r>
      <w:r w:rsidRPr="00147AD1">
        <w:rPr>
          <w:rFonts w:ascii="FranklinGothicDemiCondCRegular" w:eastAsia="Times New Roman" w:hAnsi="FranklinGothicDemiCondCRegular" w:cs="Arial"/>
          <w:b/>
          <w:bCs/>
          <w:color w:val="000000"/>
          <w:sz w:val="20"/>
          <w:szCs w:val="20"/>
          <w:u w:val="single"/>
          <w:lang w:eastAsia="ru-RU"/>
        </w:rPr>
        <w:t>Контролировать показатели липидного обмена.</w:t>
      </w:r>
      <w:r w:rsidRPr="00147AD1">
        <w:rPr>
          <w:rFonts w:ascii="FranklinGothicBookCRegular" w:eastAsia="Times New Roman" w:hAnsi="FranklinGothicBookCRegular" w:cs="Arial"/>
          <w:color w:val="000000"/>
          <w:sz w:val="20"/>
          <w:szCs w:val="20"/>
          <w:lang w:eastAsia="ru-RU"/>
        </w:rPr>
        <w:t> Пациентам с очень высоким ССР рекомендовано достижение целевого уровня холестерина липопротеинов низкой плотности (ХС-ЛПНП) &lt;1,8 </w:t>
      </w:r>
      <w:proofErr w:type="spellStart"/>
      <w:r w:rsidRPr="00147AD1">
        <w:rPr>
          <w:rFonts w:ascii="FranklinGothicBookCRegular" w:eastAsia="Times New Roman" w:hAnsi="FranklinGothicBookCRegular" w:cs="Arial"/>
          <w:color w:val="000000"/>
          <w:sz w:val="20"/>
          <w:szCs w:val="20"/>
          <w:lang w:eastAsia="ru-RU"/>
        </w:rPr>
        <w:t>ммоль</w:t>
      </w:r>
      <w:proofErr w:type="spellEnd"/>
      <w:r w:rsidRPr="00147AD1">
        <w:rPr>
          <w:rFonts w:ascii="FranklinGothicBookCRegular" w:eastAsia="Times New Roman" w:hAnsi="FranklinGothicBookCRegular" w:cs="Arial"/>
          <w:color w:val="000000"/>
          <w:sz w:val="20"/>
          <w:szCs w:val="20"/>
          <w:lang w:eastAsia="ru-RU"/>
        </w:rPr>
        <w:t>/л или его уменьшение минимум на 50%, если исходный показатель составлял 1,8-3,5 </w:t>
      </w:r>
      <w:proofErr w:type="spellStart"/>
      <w:r w:rsidRPr="00147AD1">
        <w:rPr>
          <w:rFonts w:ascii="FranklinGothicBookCRegular" w:eastAsia="Times New Roman" w:hAnsi="FranklinGothicBookCRegular" w:cs="Arial"/>
          <w:color w:val="000000"/>
          <w:sz w:val="20"/>
          <w:szCs w:val="20"/>
          <w:lang w:eastAsia="ru-RU"/>
        </w:rPr>
        <w:t>ммоль</w:t>
      </w:r>
      <w:proofErr w:type="spellEnd"/>
      <w:r w:rsidRPr="00147AD1">
        <w:rPr>
          <w:rFonts w:ascii="FranklinGothicBookCRegular" w:eastAsia="Times New Roman" w:hAnsi="FranklinGothicBookCRegular" w:cs="Arial"/>
          <w:color w:val="000000"/>
          <w:sz w:val="20"/>
          <w:szCs w:val="20"/>
          <w:lang w:eastAsia="ru-RU"/>
        </w:rPr>
        <w:t>/л (ESC, 2016).</w:t>
      </w:r>
      <w:r w:rsidRPr="00147AD1">
        <w:rPr>
          <w:rFonts w:ascii="FranklinGothicBookCRegular" w:eastAsia="Times New Roman" w:hAnsi="FranklinGothicBookCRegular" w:cs="Arial"/>
          <w:color w:val="000000"/>
          <w:sz w:val="20"/>
          <w:szCs w:val="20"/>
          <w:lang w:eastAsia="ru-RU"/>
        </w:rPr>
        <w:br/>
        <w:t>Пациентам с высоким ССР рекомендовано достижение целевого уровня ХС-ЛПНП &lt;2,6 </w:t>
      </w:r>
      <w:proofErr w:type="spellStart"/>
      <w:r w:rsidRPr="00147AD1">
        <w:rPr>
          <w:rFonts w:ascii="FranklinGothicBookCRegular" w:eastAsia="Times New Roman" w:hAnsi="FranklinGothicBookCRegular" w:cs="Arial"/>
          <w:color w:val="000000"/>
          <w:sz w:val="20"/>
          <w:szCs w:val="20"/>
          <w:lang w:eastAsia="ru-RU"/>
        </w:rPr>
        <w:t>ммоль</w:t>
      </w:r>
      <w:proofErr w:type="spellEnd"/>
      <w:r w:rsidRPr="00147AD1">
        <w:rPr>
          <w:rFonts w:ascii="FranklinGothicBookCRegular" w:eastAsia="Times New Roman" w:hAnsi="FranklinGothicBookCRegular" w:cs="Arial"/>
          <w:color w:val="000000"/>
          <w:sz w:val="20"/>
          <w:szCs w:val="20"/>
          <w:lang w:eastAsia="ru-RU"/>
        </w:rPr>
        <w:t>/л или его уменьшение минимум на 50%, если исходный показатель составлял 2,6-5,1 </w:t>
      </w:r>
      <w:proofErr w:type="spellStart"/>
      <w:r w:rsidRPr="00147AD1">
        <w:rPr>
          <w:rFonts w:ascii="FranklinGothicBookCRegular" w:eastAsia="Times New Roman" w:hAnsi="FranklinGothicBookCRegular" w:cs="Arial"/>
          <w:color w:val="000000"/>
          <w:sz w:val="20"/>
          <w:szCs w:val="20"/>
          <w:lang w:eastAsia="ru-RU"/>
        </w:rPr>
        <w:t>ммоль</w:t>
      </w:r>
      <w:proofErr w:type="spellEnd"/>
      <w:r w:rsidRPr="00147AD1">
        <w:rPr>
          <w:rFonts w:ascii="FranklinGothicBookCRegular" w:eastAsia="Times New Roman" w:hAnsi="FranklinGothicBookCRegular" w:cs="Arial"/>
          <w:color w:val="000000"/>
          <w:sz w:val="20"/>
          <w:szCs w:val="20"/>
          <w:lang w:eastAsia="ru-RU"/>
        </w:rPr>
        <w:t>/л. У остальных пациентов целевым уровнем ХС-ЛПНП является &lt;3,0 </w:t>
      </w:r>
      <w:proofErr w:type="spellStart"/>
      <w:r w:rsidRPr="00147AD1">
        <w:rPr>
          <w:rFonts w:ascii="FranklinGothicBookCRegular" w:eastAsia="Times New Roman" w:hAnsi="FranklinGothicBookCRegular" w:cs="Arial"/>
          <w:color w:val="000000"/>
          <w:sz w:val="20"/>
          <w:szCs w:val="20"/>
          <w:lang w:eastAsia="ru-RU"/>
        </w:rPr>
        <w:t>ммоль</w:t>
      </w:r>
      <w:proofErr w:type="spellEnd"/>
      <w:r w:rsidRPr="00147AD1">
        <w:rPr>
          <w:rFonts w:ascii="FranklinGothicBookCRegular" w:eastAsia="Times New Roman" w:hAnsi="FranklinGothicBookCRegular" w:cs="Arial"/>
          <w:color w:val="000000"/>
          <w:sz w:val="20"/>
          <w:szCs w:val="20"/>
          <w:lang w:eastAsia="ru-RU"/>
        </w:rPr>
        <w:t>/л.</w:t>
      </w:r>
    </w:p>
    <w:p w14:paraId="6AB4C0C6"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u w:val="single"/>
          <w:lang w:eastAsia="ru-RU"/>
        </w:rPr>
        <w:lastRenderedPageBreak/>
        <w:t>8.Ограничить приём алкоголя. </w:t>
      </w:r>
      <w:r w:rsidRPr="00147AD1">
        <w:rPr>
          <w:rFonts w:ascii="FranklinGothicBookCRegular" w:eastAsia="Times New Roman" w:hAnsi="FranklinGothicBookCRegular" w:cs="Arial"/>
          <w:color w:val="000000"/>
          <w:sz w:val="20"/>
          <w:szCs w:val="20"/>
          <w:lang w:eastAsia="ru-RU"/>
        </w:rPr>
        <w:t>Меньше 2 стандартных доз (1 доза - 12 г/18 мл этанола) в день для мужчин и меньше 1 стандартной дозы для женщин в день, что приблизительно соответствует 330 мл пива, или 150 мл вина, или 45 мл крепкого напитка.</w:t>
      </w:r>
    </w:p>
    <w:p w14:paraId="3354544E"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u w:val="single"/>
          <w:lang w:eastAsia="ru-RU"/>
        </w:rPr>
        <w:t>9.Контролировать гликемию.</w:t>
      </w:r>
      <w:r w:rsidRPr="00147AD1">
        <w:rPr>
          <w:rFonts w:ascii="FranklinGothicBookCRegular" w:eastAsia="Times New Roman" w:hAnsi="FranklinGothicBookCRegular" w:cs="Arial"/>
          <w:color w:val="000000"/>
          <w:sz w:val="20"/>
          <w:szCs w:val="20"/>
          <w:lang w:eastAsia="ru-RU"/>
        </w:rPr>
        <w:t xml:space="preserve"> Уровень </w:t>
      </w:r>
      <w:proofErr w:type="spellStart"/>
      <w:r w:rsidRPr="00147AD1">
        <w:rPr>
          <w:rFonts w:ascii="FranklinGothicBookCRegular" w:eastAsia="Times New Roman" w:hAnsi="FranklinGothicBookCRegular" w:cs="Arial"/>
          <w:color w:val="000000"/>
          <w:sz w:val="20"/>
          <w:szCs w:val="20"/>
          <w:lang w:eastAsia="ru-RU"/>
        </w:rPr>
        <w:t>гликированного</w:t>
      </w:r>
      <w:proofErr w:type="spellEnd"/>
      <w:r w:rsidRPr="00147AD1">
        <w:rPr>
          <w:rFonts w:ascii="FranklinGothicBookCRegular" w:eastAsia="Times New Roman" w:hAnsi="FranklinGothicBookCRegular" w:cs="Arial"/>
          <w:color w:val="000000"/>
          <w:sz w:val="20"/>
          <w:szCs w:val="20"/>
          <w:lang w:eastAsia="ru-RU"/>
        </w:rPr>
        <w:t xml:space="preserve"> гемоглобина </w:t>
      </w:r>
      <w:proofErr w:type="gramStart"/>
      <w:r w:rsidRPr="00147AD1">
        <w:rPr>
          <w:rFonts w:ascii="FranklinGothicDemiCondCRegular" w:eastAsia="Times New Roman" w:hAnsi="FranklinGothicDemiCondCRegular" w:cs="Arial"/>
          <w:b/>
          <w:bCs/>
          <w:color w:val="000000"/>
          <w:sz w:val="20"/>
          <w:szCs w:val="20"/>
          <w:lang w:eastAsia="ru-RU"/>
        </w:rPr>
        <w:t>&lt; </w:t>
      </w:r>
      <w:r w:rsidRPr="00147AD1">
        <w:rPr>
          <w:rFonts w:ascii="FranklinGothicBookCRegular" w:eastAsia="Times New Roman" w:hAnsi="FranklinGothicBookCRegular" w:cs="Arial"/>
          <w:color w:val="000000"/>
          <w:sz w:val="20"/>
          <w:szCs w:val="20"/>
          <w:lang w:eastAsia="ru-RU"/>
        </w:rPr>
        <w:t>6</w:t>
      </w:r>
      <w:proofErr w:type="gramEnd"/>
      <w:r w:rsidRPr="00147AD1">
        <w:rPr>
          <w:rFonts w:ascii="FranklinGothicBookCRegular" w:eastAsia="Times New Roman" w:hAnsi="FranklinGothicBookCRegular" w:cs="Arial"/>
          <w:color w:val="000000"/>
          <w:sz w:val="20"/>
          <w:szCs w:val="20"/>
          <w:lang w:eastAsia="ru-RU"/>
        </w:rPr>
        <w:t>-6,5%.</w:t>
      </w:r>
    </w:p>
    <w:p w14:paraId="45330F26"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DemiCondCRegular" w:eastAsia="Times New Roman" w:hAnsi="FranklinGothicDemiCondCRegular" w:cs="Arial"/>
          <w:b/>
          <w:bCs/>
          <w:color w:val="000000"/>
          <w:sz w:val="20"/>
          <w:szCs w:val="20"/>
          <w:u w:val="single"/>
          <w:lang w:eastAsia="ru-RU"/>
        </w:rPr>
        <w:t>10.Избегать длительных стрессовых ситуаций.</w:t>
      </w:r>
    </w:p>
    <w:p w14:paraId="52D90456" w14:textId="77777777" w:rsidR="00147AD1" w:rsidRPr="00147AD1" w:rsidRDefault="00147AD1" w:rsidP="00147AD1">
      <w:pPr>
        <w:spacing w:before="100" w:beforeAutospacing="1" w:after="100" w:afterAutospacing="1" w:line="360" w:lineRule="atLeast"/>
        <w:jc w:val="both"/>
        <w:rPr>
          <w:rFonts w:ascii="FranklinGothicBookCRegular" w:eastAsia="Times New Roman" w:hAnsi="FranklinGothicBookCRegular" w:cs="Arial"/>
          <w:color w:val="000000"/>
          <w:sz w:val="20"/>
          <w:szCs w:val="20"/>
          <w:lang w:eastAsia="ru-RU"/>
        </w:rPr>
      </w:pPr>
      <w:r w:rsidRPr="00147AD1">
        <w:rPr>
          <w:rFonts w:ascii="FranklinGothicBookCRegular" w:eastAsia="Times New Roman" w:hAnsi="FranklinGothicBookCRegular" w:cs="Arial"/>
          <w:color w:val="000000"/>
          <w:sz w:val="20"/>
          <w:szCs w:val="20"/>
          <w:lang w:eastAsia="ru-RU"/>
        </w:rPr>
        <w:t>Даже небольшие изменения, внесенные в образ жизни, могут замедлить преждевременное старение сердца и сосудов. Никогда не поздно начать вести здоровый образ жизни. После появления у человека признаков ИБС факторы риска продолжают действовать, способствуя прогрессированию заболевания и ухудшая прогноз, поэтому их коррекция должна быть составной частью тактики лечения. </w:t>
      </w:r>
    </w:p>
    <w:p w14:paraId="4F48ED49" w14:textId="77777777" w:rsidR="005F2FDD" w:rsidRDefault="005F2FDD">
      <w:bookmarkStart w:id="0" w:name="_GoBack"/>
      <w:bookmarkEnd w:id="0"/>
    </w:p>
    <w:sectPr w:rsidR="005F2F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FranklinGothicBookCRegular">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FranklinGothicDemiCondCRegular">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F7089"/>
    <w:multiLevelType w:val="multilevel"/>
    <w:tmpl w:val="F2626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529"/>
    <w:rsid w:val="00147AD1"/>
    <w:rsid w:val="005F2FDD"/>
    <w:rsid w:val="00C365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F5F6B4-D043-4266-B072-3AF325D9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565081">
      <w:bodyDiv w:val="1"/>
      <w:marLeft w:val="0"/>
      <w:marRight w:val="0"/>
      <w:marTop w:val="0"/>
      <w:marBottom w:val="0"/>
      <w:divBdr>
        <w:top w:val="none" w:sz="0" w:space="0" w:color="auto"/>
        <w:left w:val="none" w:sz="0" w:space="0" w:color="auto"/>
        <w:bottom w:val="none" w:sz="0" w:space="0" w:color="auto"/>
        <w:right w:val="none" w:sz="0" w:space="0" w:color="auto"/>
      </w:divBdr>
      <w:divsChild>
        <w:div w:id="1583680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1077</Words>
  <Characters>6143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Medic</dc:creator>
  <cp:keywords/>
  <dc:description/>
  <cp:lastModifiedBy>Medic</cp:lastModifiedBy>
  <cp:revision>2</cp:revision>
  <dcterms:created xsi:type="dcterms:W3CDTF">2023-09-19T08:45:00Z</dcterms:created>
  <dcterms:modified xsi:type="dcterms:W3CDTF">2023-09-19T08:45:00Z</dcterms:modified>
</cp:coreProperties>
</file>