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right"/>
        <w:textAlignment w:val="baseline"/>
        <w:rPr>
          <w:rFonts w:ascii="Liberation Serif" w:hAnsi="Liberation Serif" w:eastAsia="Times New Roman" w:cs="Liberation Serif"/>
          <w:bCs/>
          <w:sz w:val="28"/>
          <w:szCs w:val="28"/>
          <w:lang w:eastAsia="ar-SA"/>
        </w:rPr>
      </w:pPr>
      <w:r>
        <w:rPr>
          <w:rFonts w:eastAsia="Times New Roman" w:cs="Liberation Serif" w:ascii="Liberation Serif" w:hAnsi="Liberation Serif"/>
          <w:bCs/>
          <w:sz w:val="28"/>
          <w:szCs w:val="28"/>
          <w:lang w:eastAsia="ar-SA"/>
        </w:rPr>
        <w:t xml:space="preserve">Приложение к письму </w:t>
      </w:r>
    </w:p>
    <w:p>
      <w:pPr>
        <w:pStyle w:val="Normal"/>
        <w:suppressAutoHyphens w:val="true"/>
        <w:spacing w:lineRule="auto" w:line="240" w:before="0" w:after="0"/>
        <w:jc w:val="right"/>
        <w:textAlignment w:val="baseline"/>
        <w:rPr>
          <w:rFonts w:ascii="Liberation Serif" w:hAnsi="Liberation Serif" w:eastAsia="Times New Roman" w:cs="Liberation Serif"/>
          <w:bCs/>
          <w:sz w:val="28"/>
          <w:szCs w:val="28"/>
          <w:lang w:eastAsia="ar-SA"/>
        </w:rPr>
      </w:pPr>
      <w:r>
        <w:rPr>
          <w:rFonts w:eastAsia="Times New Roman" w:cs="Liberation Serif" w:ascii="Liberation Serif" w:hAnsi="Liberation Serif"/>
          <w:bCs/>
          <w:sz w:val="28"/>
          <w:szCs w:val="28"/>
          <w:lang w:eastAsia="ar-SA"/>
        </w:rPr>
        <w:t>от__________№______________</w:t>
      </w:r>
    </w:p>
    <w:p>
      <w:pPr>
        <w:pStyle w:val="Normal"/>
        <w:spacing w:lineRule="auto" w:line="240"/>
        <w:jc w:val="center"/>
        <w:rPr>
          <w:rStyle w:val="Fontstyle01"/>
          <w:rFonts w:ascii="Liberation Serif" w:hAnsi="Liberation Serif"/>
          <w:b w:val="false"/>
          <w:b w:val="false"/>
        </w:rPr>
      </w:pPr>
      <w:r>
        <w:rPr>
          <w:rFonts w:ascii="Liberation Serif" w:hAnsi="Liberation Serif"/>
          <w:b w:val="false"/>
        </w:rPr>
      </w:r>
    </w:p>
    <w:p>
      <w:pPr>
        <w:pStyle w:val="Normal"/>
        <w:spacing w:lineRule="auto" w:line="240"/>
        <w:jc w:val="center"/>
        <w:rPr>
          <w:rFonts w:ascii="Liberation Serif" w:hAnsi="Liberation Serif"/>
          <w:b/>
          <w:b/>
          <w:sz w:val="28"/>
          <w:szCs w:val="28"/>
        </w:rPr>
      </w:pPr>
      <w:bookmarkStart w:id="0" w:name="_GoBack"/>
      <w:bookmarkEnd w:id="0"/>
      <w:r>
        <w:rPr>
          <w:rStyle w:val="Fontstyle01"/>
          <w:rFonts w:ascii="Liberation Serif" w:hAnsi="Liberation Serif"/>
          <w:b w:val="false"/>
        </w:rPr>
        <w:t>ПЛАН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br/>
      </w:r>
      <w:r>
        <w:rPr>
          <w:rStyle w:val="Fontstyle01"/>
          <w:rFonts w:ascii="Liberation Serif" w:hAnsi="Liberation Serif"/>
          <w:b w:val="false"/>
        </w:rPr>
        <w:t>проведения региональных тематических мероприятий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br/>
      </w:r>
      <w:r>
        <w:rPr>
          <w:rStyle w:val="Fontstyle01"/>
          <w:rFonts w:ascii="Liberation Serif" w:hAnsi="Liberation Serif"/>
          <w:b w:val="false"/>
        </w:rPr>
        <w:t>по профилактике заболеваний и поддержке здорового образа жизни</w:t>
      </w:r>
    </w:p>
    <w:tbl>
      <w:tblPr>
        <w:tblStyle w:val="a3"/>
        <w:tblW w:w="15593" w:type="dxa"/>
        <w:jc w:val="left"/>
        <w:tblInd w:w="-17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316"/>
        <w:gridCol w:w="2191"/>
        <w:gridCol w:w="2551"/>
        <w:gridCol w:w="4726"/>
        <w:gridCol w:w="3968"/>
      </w:tblGrid>
      <w:tr>
        <w:trPr>
          <w:tblHeader w:val="true"/>
        </w:trPr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Style w:val="Fontstyle01"/>
                <w:rFonts w:ascii="Liberation Serif" w:hAnsi="Liberation Serif"/>
                <w:sz w:val="24"/>
                <w:szCs w:val="24"/>
              </w:rPr>
              <w:t>Дата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Style w:val="Fontstyle01"/>
                <w:rFonts w:ascii="Liberation Serif" w:hAnsi="Liberation Serif"/>
                <w:sz w:val="24"/>
                <w:szCs w:val="24"/>
              </w:rPr>
              <w:t>Тема/Задача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Style w:val="Fontstyle01"/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472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Style w:val="Fontstyle01"/>
                <w:rFonts w:ascii="Liberation Serif" w:hAnsi="Liberation Serif"/>
                <w:sz w:val="24"/>
                <w:szCs w:val="24"/>
              </w:rPr>
              <w:t>Основные тезисы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Style w:val="Fontstyle01"/>
                <w:rFonts w:ascii="Liberation Serif" w:hAnsi="Liberation Serif"/>
                <w:sz w:val="24"/>
                <w:szCs w:val="24"/>
              </w:rPr>
              <w:t>Результат</w:t>
            </w:r>
          </w:p>
        </w:tc>
      </w:tr>
      <w:tr>
        <w:trPr/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3 - 9 июля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Неделя сохранения иммунной системы (в честь Всемирного дня по борьбе с аллергией 8 июля)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Известно, что предназначение иммунной системы организма – охрана организма от воздействия микроорганизма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причем не только от микробов и паразитов, но и от выходящих из-под контроля клеток собственного организма.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Что влияет на снижение иммунитета: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Неправильный образ жизни (употребление алкоголя, курение, малое количество физической активности)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Стрессы, депрессивное состояние, повышенная раздражительность, усталость и плохой сон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Окружающая среда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Неправильное питание.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ммунная защита организма напрямую зависит от того, что мы едим. </w:t>
            </w:r>
            <w:r>
              <w:rPr>
                <w:rFonts w:ascii="Liberation Serif" w:hAnsi="Liberation Serif"/>
                <w:sz w:val="24"/>
                <w:szCs w:val="24"/>
              </w:rPr>
              <w:t>Б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елковая пища обеспечивает организм необходимыми аминокислотами для образования антител и других агентов иммунитета. Жиры нужны для построения иммунных клеток, а углеводы дают энергию для функционирования иммунной системы.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Существуют продукты, которые способны укрепить защитные функции организма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– лимон, имбирь, зеленый чай, фрукты, к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аши из цельного зерна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кисломолочные продукты</w:t>
            </w:r>
            <w:r>
              <w:rPr>
                <w:rFonts w:ascii="Liberation Serif" w:hAnsi="Liberation Serif"/>
                <w:sz w:val="24"/>
                <w:szCs w:val="24"/>
              </w:rPr>
              <w:t>, я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годы</w:t>
            </w:r>
            <w:r>
              <w:rPr>
                <w:rFonts w:ascii="Liberation Serif" w:hAnsi="Liberation Serif"/>
                <w:sz w:val="24"/>
                <w:szCs w:val="24"/>
              </w:rPr>
              <w:t>, м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миндаль.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Информирование населения о важности поддержания иммунитета</w:t>
            </w:r>
          </w:p>
        </w:tc>
      </w:tr>
      <w:tr>
        <w:trPr>
          <w:trHeight w:val="4099" w:hRule="atLeast"/>
        </w:trPr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10 - 16 июля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Неделя, направленная на снижение смертности от внешних причин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корпоративных информационных системах и на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территории организаций с целью информирования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Смертность от внешних причин вызывает особую озабоченность общества, поскольку в большинстве случаев эти причины устранимы и, кроме того, в среднем, отличаются относительно низким возрастом смерти. 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В этом классе причин смерти выделяется несколько групп внешних причин смерти. В частности, Росстат публикует показатели смертности от следующих групп внешних причин: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случайных отравлений алкоголем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т всех видов транспортных несчастных случаев, в том числе от дорожно-транспортных происшествий;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самоубийств;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убийств;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повреждений с неопределенными намерениями;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случайных падений;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случайных утоплений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От случайных несчастных случаев, вызванных воздействием дыма, огня и пламени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Алкоголь – это яд, который действует на все системы организма. Помимо того, что он убивает самого человека, но также ставит под угрозу окружающих. Так,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алкоголь вызывает и нарушение координации движения, и нарушение контроля за поведением. Итог: несчастные случаи самого разного характера, при этом часто гибнут люди, ни разу не употреблявшие алкоголь.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осведомленности населения о потреблении алкоголя и травмах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осведомленности населения об алгоритмах оказания первой помощи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</w:r>
          </w:p>
        </w:tc>
      </w:tr>
      <w:tr>
        <w:trPr>
          <w:trHeight w:val="9344" w:hRule="atLeast"/>
        </w:trPr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17 - 23 июля</w:t>
              <w:tab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Неделя сохранения здоровья головного мозга (в честь Всемирного дня мозга 22 июля)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Участие работников по данной теме или проведение мероприятий по тематической недели.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Для сохранения здоровья мозга важно сохранять высокий уровень умственной активности, больше двигаться, следить за давлением и обязательно своевременно проходить диспансеризацию и профилактические осмотры.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Нарушения работы мозга могут быть весьма разнообразными: нервно-мышечные заболевания, эпилепсия, рассеянный склероз, болезнь Паркинсона, различные виды деменций, хроническая ишемия головного мозга и инсульт. 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 данным Всемирной инсультной организации, ежегодно в мире фиксируется более 15 млн случаев инсультов. А в России каждый год более 400 тыс. человек сталкиваются с острыми нарушениями мозгового кровообращения.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Актуальной проблемой также стало развитие постковидного синдрома у переболевших COVID-19, при котором страдают когнитивные функции, нарушается сон, развиваются головные боли и астения. Вероятность постковидного синдрома растет с возрастом, и нередко усиливает уже имеющиеся проблемы. При обнаружении симптомов постковидного синдрома следует обратиться к врачу.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Если человек перенес инсульт, то крайне важно, чтобы он получал терапию, направленную на предупреждение повторных сосудистых событий.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При наличии умеренных когнитивных расстройств обязательно нужно следить за уровнем артериального давления, холестерина, глюкозы, а также ритмом сердца.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Повышение информированности населения о сохранении здоровья головного мозга</w:t>
            </w:r>
          </w:p>
        </w:tc>
      </w:tr>
      <w:tr>
        <w:trPr>
          <w:trHeight w:val="10195" w:hRule="atLeast"/>
        </w:trPr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4.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24 - 30 июля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Неделя профилактики заболеваний печени (в честь Международного дня гепатита 28 июля)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6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Проблема вирусных гепатитов продолжает оставаться крайне актуальной. В основном, это связано с низкой информированностью населения и медицинских работников о методах профилактики передачи инфекции, главным образом, речь идет о недостаточном охвате населения вакцинацией против вирусного гепатита В, особенно в группах риска заражения.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В свете растущей распространенности ожирения особое внимание следует уделить вопросам неалкогольной жировой болезни печени, ее профилактике, диагностике и лечению.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Основные меры профилактики – это рациональное питание и достаточная физическая активность.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Нельзя обойти стороной и проблему алкогольной болезни печени, особенно принимая во внимание наличие краткого и удобного в применении опросника по оценки вреда употребления алкоголя для здоровья – RUS-AUDIT, внедрение которого в широкую клиническую практику будет способствовать своевременному выявлению опасных для здоровья паттернов употребления алкоголя, проведению кратких мотивационных интервью с такими пациентами.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осведомленности населения о механизмах передачи вирусных гепатитах, мерах профилактики, в том числе, вакцинации против вирусов, информирование населения о методах профилактики неалкогольной жировой болезни печени, обучение правилам здорового рационального питания, способах и условиях расширения физической активности</w:t>
            </w:r>
          </w:p>
        </w:tc>
      </w:tr>
      <w:tr>
        <w:trPr/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31 июля - 6 августа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Неделя популяризации грудного вскармливания (в честь Международной недели грудного вскармливания)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Грудное вскармливание является одним из наиболее эффективных способов обеспечения здоровья и выживания ребенка, но, тем не менее, 2 из 3 младенцев не получают исключительно грудного вскармливания в течение рекомендованных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6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месяцев — этот показатель не улучшился за последние два десятилетия.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Грудное молоко является идеальной пищей для младенцев. Оно является безопасным, безвредным и содержит антитела, которые помогают защитить от многих распространенных детских болезней. 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Грудное молоко обеспечивает младенца всей необходимой энергией и питательными веществами в первые месяцы жизни, а во второй половине первого года оно продолжает обеспечивать до половины или более потребностей ребенка в питании, а на втором году жизни — до одной трети.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ети, находящиеся на грудном вскармливании, лучше справляются с тестами на интеллект, реже страдают избыточным весом или ожирением и менее склонны к диабету в более позднем возрасте. У женщин, которые кормят грудью, также снижается риск появления рака груди и яичников. 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Польза грудного вскармливания для матери: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выработки окситоцина, что ускоряет процесс восстановления организма после родов;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устойчивости мамы к стрессам, снижение послеродовой депрессии;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Снижение риска появления рака молочной железы и яичников;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Снижение риска развития остеопороза и переломов костей в постменопаузе;</w:t>
            </w:r>
          </w:p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Снижение риска развития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сердечно-сосудистых заболеваний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и диабета.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Польза для ребенка: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Обеспечение защиты от инфекционных заболеваний;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Стимуляция моторики и созревания функций </w:t>
            </w:r>
            <w:r>
              <w:rPr>
                <w:rFonts w:ascii="Liberation Serif" w:hAnsi="Liberation Serif"/>
                <w:sz w:val="24"/>
                <w:szCs w:val="24"/>
              </w:rPr>
              <w:t>желудочно-кишечного тракта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Формирование здоровой микрофлоры кишечника;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Снижение вероятности формирования неправильного прикуса;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Снижение частоты острых респираторных заболеваний;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Улучшение когнитивного и речевого развития;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Улучшение эмоционального контакта матери и ребенка;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Снижение частоты инфекций мочевыводящих путей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количества матерей, осуществляющих грудное вскармливание, в том числе по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истечению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6 месяцев </w:t>
            </w:r>
            <w:r>
              <w:rPr>
                <w:rFonts w:ascii="Liberation Serif" w:hAnsi="Liberation Serif"/>
                <w:sz w:val="24"/>
                <w:szCs w:val="24"/>
              </w:rPr>
              <w:t>после родов</w:t>
            </w:r>
          </w:p>
        </w:tc>
      </w:tr>
      <w:tr>
        <w:trPr/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6.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7 - 13 августа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Неделя профилактики сердечно-сосудистых заболеваний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Медицинское сообщество едино во мнении, что здоровый образ жизни является основой профилактики и лечения сердечно-сосудистых заболеваний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(ССЗ)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. Он подразумевает правильное питание, достаточную физическую активность, проведение профилактических обследований с целью своевременного выявления неинфекционных заболеваний, а также отказ от вредных привычек.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К числу самых неблагоприятных рисков для сердца и сосудов относятся наследственный фактор, а также курение, злоупотребление алкоголем, низк</w:t>
            </w:r>
            <w:r>
              <w:rPr>
                <w:rFonts w:ascii="Liberation Serif" w:hAnsi="Liberation Serif"/>
                <w:sz w:val="24"/>
                <w:szCs w:val="24"/>
              </w:rPr>
              <w:t>ую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физическую активность, ожирение и сахарный диабет. 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рофилактика невозможна без отказа от вредных привычек – курения и злоупотребления алкоголем. Курение вообще называют катастрофой для сердца. Оно приводит к спазму переферических сосудов, повышению уровня давления и свертываемости крови и учащению ритма сердечных сокращений. В сигаретах содержится большое количество вредных веществ, в том числе никотин и угарный газ. Они вытесняют кислород, что приводит к хроническому кислородному голоданию.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Кроме того, в основе профилактики </w:t>
            </w:r>
            <w:r>
              <w:rPr>
                <w:rFonts w:ascii="Liberation Serif" w:hAnsi="Liberation Serif"/>
                <w:sz w:val="24"/>
                <w:szCs w:val="24"/>
              </w:rPr>
              <w:t>ССЗ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лежит регулярный контроль таких показателей, как индекс массы тела, артериальное давление, уровень глюкозы и холестерина в крови. 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Для нормального функционирования организма взрослому человеку нужна активность не менее 150 минут в неделю.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Занятия физкультурой способствуют и снижению веса. Ожирение – еще один существенный фактор риска возникновения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ССЗ. 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Поддержание формы требует соблюдения основ здорового и рационального питания. Важно, чтобы суточный рацион был сбалансированным по содержанию белков, жиров и углеводов, а также не превышал энергетическую потребность.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Соль – один из главных союзников повышенного давления. Норма соли – 5 грамм в день.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Одной из ключевых особенностей диеты является потребление большого количества овощей и фруктов. </w:t>
            </w:r>
            <w:r>
              <w:rPr>
                <w:rFonts w:ascii="Liberation Serif" w:hAnsi="Liberation Serif"/>
                <w:sz w:val="24"/>
                <w:szCs w:val="24"/>
              </w:rPr>
              <w:t>ВОЗ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советует употреблять каждый день не меньше 400 г</w:t>
            </w:r>
            <w:r>
              <w:rPr>
                <w:rFonts w:ascii="Liberation Serif" w:hAnsi="Liberation Serif"/>
                <w:sz w:val="24"/>
                <w:szCs w:val="24"/>
              </w:rPr>
              <w:t>р.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овощей, фруктов и ягод.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Диета также подразумевает снижение количества кондитерских изделий и животных жиров и добавление в рацион рыбы и морепродуктов, растительных масел, орехов. Это необходимо для снижения холестерина и сахара в крови.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Следить за уровнем давления необходимо, особенно при наличии факторов риска </w:t>
            </w:r>
            <w:r>
              <w:rPr>
                <w:rFonts w:ascii="Liberation Serif" w:hAnsi="Liberation Serif"/>
                <w:sz w:val="24"/>
                <w:szCs w:val="24"/>
              </w:rPr>
              <w:t>развития ССЗ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. Это также актуально для тех, кто страдает слабостью, головными болями и головокружениями.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Для получения наиболее объективных показателей нужно измерить давление повторно после двухминутного перерыва и ориентироваться на средние числа. Кроме того, делать это желательно утром и вечером, и записывать среднее давление утром и среднее давление вечером в дневник.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Если вы видите на экране тонометра 140/90 – это повод обратиться к врачу.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осведомленности о возможности профилактики сердечно-сосудистых заболеваний, ведении здорового образа жизни</w:t>
            </w:r>
          </w:p>
        </w:tc>
      </w:tr>
      <w:tr>
        <w:trPr/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7.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14 - 20 августа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Неделя популяризации активных видов спорта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Низкая физическая активность, наряду с курением, избыточной массой тела, повышенным содержанием холестерина в крови и повышенным артериальным давлением, является независимым, самостоятельным фактором риска развития заболеваний.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Низкая </w:t>
            </w:r>
            <w:r>
              <w:rPr>
                <w:rFonts w:ascii="Liberation Serif" w:hAnsi="Liberation Serif"/>
                <w:sz w:val="24"/>
                <w:szCs w:val="24"/>
              </w:rPr>
              <w:t>физическая активность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увеличивает риск развития: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Ишемической болезни сердца на 30%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Сахарного диабета II типа на 27%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Рака толстого кишечника и рака молочной железы на 21-25%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Основные рекомендации: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Минимум 150-300 минут умеренной физической активности или минимум 75-150 минут интенсивной физической активности или эквивалентной комбинации в течение недели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Для получения дополнительных преимуществ для здоровья увеличить время умеренной физической активности до и более 300 минут или время интенсивной физической активности до и более 150 минут в неделю.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мотивации и приверженности населения к повышению уровня физической активности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опуляризация активного досуга</w:t>
            </w:r>
          </w:p>
        </w:tc>
      </w:tr>
      <w:tr>
        <w:trPr/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8.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21 - 27 августа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Неделя профилактики заболеваний ЖКТ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Несмотря на наметившийся в последние десятилетия прогресс в вопросах профилактики, диагностики и лечения заболеваний органов пищеварительной системы, они остаются важной проблемой здравоохранения, и не теряют свою актуальность. Это связано с подверженностью современного человека воздействию большого числа как модифицируемых, так и не модифицируемых факторов риска.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Для того, чтобы не допустить нарушений пищеварения, важно правильно питаться, включая достаточное количество клетчатки в рационе, снижение количества трансжиров, полуфабрикатов и других обработанных продуктов. 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Кроме того, </w:t>
            </w:r>
            <w:r>
              <w:rPr>
                <w:rFonts w:ascii="Liberation Serif" w:hAnsi="Liberation Serif"/>
                <w:sz w:val="24"/>
                <w:szCs w:val="24"/>
              </w:rPr>
              <w:t>пациентам при наличии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язвенной болезни, гастроэзофагеальной рефлюксной болезни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необходимо придерживаться специальной диеты. 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Важно проходить диспансеризацию и профилактические осмотры для того, чтобы убедиться в отсутствии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злокачественных новообразований желудка и толстой кишки.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Вредные привычки, недостаточная физическая активность, нерациональное питание – основные факторы риска развития нарушений ЖКТ.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Повышение информированности населения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о факторах риска развития и мерах профилактики основных групп заболеваний различных отделов желудочно-кишечного тракта.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</w:r>
          </w:p>
        </w:tc>
      </w:tr>
      <w:tr>
        <w:trPr/>
        <w:tc>
          <w:tcPr>
            <w:tcW w:w="8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9. </w:t>
            </w:r>
          </w:p>
        </w:tc>
        <w:tc>
          <w:tcPr>
            <w:tcW w:w="131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28 августа - 3 сентября</w:t>
            </w:r>
          </w:p>
        </w:tc>
        <w:tc>
          <w:tcPr>
            <w:tcW w:w="219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Неделя продвижения здорового образа жизни среди детей</w:t>
            </w:r>
          </w:p>
        </w:tc>
        <w:tc>
          <w:tcPr>
            <w:tcW w:w="25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Размещение информационных материалов в</w:t>
              <w:br/>
              <w:t>корпоративных информационных системах и на</w:t>
              <w:br/>
              <w:t>территории организаций с целью информирования</w:t>
              <w:br/>
              <w:t>работников по теме.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данной теме.</w:t>
            </w:r>
          </w:p>
        </w:tc>
        <w:tc>
          <w:tcPr>
            <w:tcW w:w="4726" w:type="dxa"/>
            <w:tcBorders/>
          </w:tcPr>
          <w:p>
            <w:pPr>
              <w:pStyle w:val="Normal"/>
              <w:numPr>
                <w:ilvl w:val="0"/>
                <w:numId w:val="1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Ведение з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дорового образ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 жизни – важнейшее условие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сохранения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здоровья любого человека.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К здоровью нужно относится бережно и сохранять его с детства. ЗОЖ для детей – один из главных факторов физического и нравственного развития.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 xml:space="preserve">Здоровье важно поддерживать и укреплять. </w:t>
            </w:r>
            <w:r>
              <w:rPr>
                <w:rFonts w:ascii="Liberation Serif" w:hAnsi="Liberation Serif"/>
                <w:sz w:val="24"/>
                <w:szCs w:val="24"/>
              </w:rPr>
              <w:t>В этих целях детям и подросткам рекомендуется проходить профилактические осмотры и диспансеризацию для выявления заболеваний на ранних стадиях и своевременного начала лечения.</w:t>
            </w:r>
          </w:p>
          <w:p>
            <w:pPr>
              <w:pStyle w:val="Normal"/>
              <w:numPr>
                <w:ilvl w:val="0"/>
                <w:numId w:val="15"/>
              </w:numPr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val="ru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Здоровье подрастающего поколения – это будущее здоровье всей страны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. В целях сохранения репродуктивного потенциала подросткам 15 – 17 лет рекомендуется проходить обследования 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репродуктивной системы.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Крайне важно проводить с детьми и подростками беседы о важности ведения здорового образа жизни</w:t>
            </w:r>
            <w:r>
              <w:rPr>
                <w:rFonts w:ascii="Liberation Serif" w:hAnsi="Liberation Serif"/>
                <w:sz w:val="24"/>
                <w:szCs w:val="24"/>
                <w:lang w:val="ru"/>
              </w:rPr>
              <w:t>.</w:t>
            </w:r>
          </w:p>
        </w:tc>
        <w:tc>
          <w:tcPr>
            <w:tcW w:w="396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"/>
              </w:rPr>
              <w:t>Повышение информированности подростков и их родителей о важности ответственного отношения к своему здоровью</w:t>
            </w:r>
          </w:p>
        </w:tc>
      </w:tr>
    </w:tbl>
    <w:p>
      <w:pPr>
        <w:pStyle w:val="Normal"/>
        <w:spacing w:before="0" w:after="200"/>
        <w:rPr>
          <w:rFonts w:ascii="Liberation Serif" w:hAnsi="Liberation Serif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0e6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01" w:customStyle="1">
    <w:name w:val="fontstyle01"/>
    <w:basedOn w:val="DefaultParagraphFont"/>
    <w:qFormat/>
    <w:rsid w:val="00c425a2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e5df8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55bcf"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a8"/>
    <w:uiPriority w:val="99"/>
    <w:semiHidden/>
    <w:qFormat/>
    <w:rsid w:val="00955bcf"/>
    <w:rPr>
      <w:sz w:val="20"/>
      <w:szCs w:val="20"/>
    </w:rPr>
  </w:style>
  <w:style w:type="character" w:styleId="Style16" w:customStyle="1">
    <w:name w:val="Тема примечания Знак"/>
    <w:basedOn w:val="Style15"/>
    <w:link w:val="aa"/>
    <w:uiPriority w:val="99"/>
    <w:semiHidden/>
    <w:qFormat/>
    <w:rsid w:val="00955bcf"/>
    <w:rPr>
      <w:b/>
      <w:bCs/>
      <w:sz w:val="20"/>
      <w:szCs w:val="20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e5df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2b87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a9"/>
    <w:uiPriority w:val="99"/>
    <w:semiHidden/>
    <w:unhideWhenUsed/>
    <w:qFormat/>
    <w:rsid w:val="00955bcf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b"/>
    <w:uiPriority w:val="99"/>
    <w:semiHidden/>
    <w:unhideWhenUsed/>
    <w:qFormat/>
    <w:rsid w:val="00955bc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425a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5B5DE-8951-46EA-ADE2-5C0AC5608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 LibreOffice_project/3d775be2011f3886db32dfd395a6a6d1ca2630ff</Application>
  <Pages>11</Pages>
  <Words>1970</Words>
  <Characters>13478</Characters>
  <CharactersWithSpaces>15276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2023-07-10T06:19:00Z</dcterms:created>
  <dc:creator>PanovGV</dc:creator>
  <dc:description/>
  <dc:language>ru-RU</dc:language>
  <cp:lastModifiedBy>Шалагина Ольга Юрьевна</cp:lastModifiedBy>
  <cp:lastPrinted>2023-07-10T06:18:00Z</cp:lastPrinted>
  <dcterms:modified xsi:type="dcterms:W3CDTF">2023-07-10T06:19:00Z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