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D" w:rsidRPr="009C649D" w:rsidRDefault="009C649D" w:rsidP="00783422">
      <w:pPr>
        <w:spacing w:after="10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Информация </w:t>
      </w:r>
      <w:r w:rsidR="007834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количестве обращений граждан, зарегистрированных </w:t>
      </w:r>
      <w:proofErr w:type="gramStart"/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End"/>
    </w:p>
    <w:p w:rsidR="009C649D" w:rsidRPr="009C649D" w:rsidRDefault="009C649D" w:rsidP="009C649D">
      <w:pPr>
        <w:spacing w:after="10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>Министерстве</w:t>
      </w:r>
      <w:proofErr w:type="gramEnd"/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социальной политики Свердловской области </w:t>
      </w:r>
    </w:p>
    <w:p w:rsidR="00E54E75" w:rsidRDefault="009C649D" w:rsidP="009C649D">
      <w:pPr>
        <w:spacing w:after="10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l</w:t>
      </w:r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9C64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bookmarkEnd w:id="0"/>
    </w:p>
    <w:p w:rsidR="00021C7B" w:rsidRDefault="00E747F4" w:rsidP="002517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l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341285">
        <w:rPr>
          <w:rFonts w:ascii="Times New Roman" w:hAnsi="Times New Roman" w:cs="Times New Roman"/>
          <w:sz w:val="28"/>
          <w:szCs w:val="28"/>
        </w:rPr>
        <w:t>5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в Министерство социальной политики Свердловской области </w:t>
      </w:r>
      <w:r w:rsidR="00936A83">
        <w:t xml:space="preserve"> </w:t>
      </w:r>
      <w:r w:rsid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41285">
        <w:rPr>
          <w:rFonts w:ascii="Times New Roman" w:hAnsi="Times New Roman" w:cs="Times New Roman"/>
          <w:sz w:val="28"/>
          <w:szCs w:val="28"/>
        </w:rPr>
        <w:t>1036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005F">
        <w:rPr>
          <w:rFonts w:ascii="Times New Roman" w:hAnsi="Times New Roman" w:cs="Times New Roman"/>
          <w:sz w:val="28"/>
          <w:szCs w:val="28"/>
        </w:rPr>
        <w:t>й</w:t>
      </w:r>
      <w:r w:rsidR="00936A83">
        <w:rPr>
          <w:rFonts w:ascii="Times New Roman" w:hAnsi="Times New Roman" w:cs="Times New Roman"/>
          <w:sz w:val="28"/>
          <w:szCs w:val="28"/>
        </w:rPr>
        <w:t xml:space="preserve">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341285">
        <w:rPr>
          <w:rFonts w:ascii="Times New Roman" w:hAnsi="Times New Roman" w:cs="Times New Roman"/>
          <w:sz w:val="28"/>
          <w:szCs w:val="28"/>
        </w:rPr>
        <w:t>18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процентов больше, чем в 201</w:t>
      </w:r>
      <w:r w:rsidR="00341285">
        <w:rPr>
          <w:rFonts w:ascii="Times New Roman" w:hAnsi="Times New Roman" w:cs="Times New Roman"/>
          <w:sz w:val="28"/>
          <w:szCs w:val="28"/>
        </w:rPr>
        <w:t>4</w:t>
      </w:r>
      <w:r w:rsidR="0064497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1285">
        <w:rPr>
          <w:rFonts w:ascii="Times New Roman" w:hAnsi="Times New Roman" w:cs="Times New Roman"/>
          <w:sz w:val="28"/>
          <w:szCs w:val="28"/>
        </w:rPr>
        <w:t xml:space="preserve"> (855)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E54E75" w:rsidRDefault="00E54E75" w:rsidP="002517A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E75"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Диаграмма 1</w:t>
      </w:r>
    </w:p>
    <w:p w:rsidR="00600D0A" w:rsidRPr="00E54E75" w:rsidRDefault="00600D0A" w:rsidP="002517A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E75" w:rsidRDefault="00E54E75" w:rsidP="002517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4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поступления обращений граждан</w:t>
      </w:r>
    </w:p>
    <w:p w:rsidR="00254B4D" w:rsidRPr="00254B4D" w:rsidRDefault="00254B4D" w:rsidP="00254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4B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l квартале 2015 года</w:t>
      </w:r>
    </w:p>
    <w:p w:rsidR="00254B4D" w:rsidRDefault="00783422" w:rsidP="002517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7DBF7109" wp14:editId="3460570A">
            <wp:simplePos x="0" y="0"/>
            <wp:positionH relativeFrom="column">
              <wp:posOffset>255270</wp:posOffset>
            </wp:positionH>
            <wp:positionV relativeFrom="paragraph">
              <wp:posOffset>144780</wp:posOffset>
            </wp:positionV>
            <wp:extent cx="5372100" cy="3097530"/>
            <wp:effectExtent l="0" t="0" r="19050" b="2667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E75" w:rsidRPr="00E54E75" w:rsidRDefault="00E54E75" w:rsidP="002517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7F4" w:rsidRDefault="00341285" w:rsidP="007834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D64EF" w:rsidRDefault="00E747F4" w:rsidP="007D64EF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54B4D">
        <w:rPr>
          <w:rFonts w:ascii="Times New Roman" w:eastAsia="Times New Roman" w:hAnsi="Times New Roman" w:cs="Times New Roman"/>
          <w:sz w:val="28"/>
          <w:szCs w:val="28"/>
          <w:lang w:eastAsia="ru-RU"/>
        </w:rPr>
        <w:t>1036</w:t>
      </w:r>
      <w:r w:rsidR="00A3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устных </w:t>
      </w:r>
      <w:r w:rsidR="00254B4D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письменных – </w:t>
      </w:r>
      <w:r w:rsidR="00254B4D">
        <w:rPr>
          <w:rFonts w:ascii="Times New Roman" w:eastAsia="Times New Roman" w:hAnsi="Times New Roman" w:cs="Times New Roman"/>
          <w:sz w:val="28"/>
          <w:szCs w:val="28"/>
          <w:lang w:eastAsia="ru-RU"/>
        </w:rPr>
        <w:t>837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 увеличения  количества обраще</w:t>
      </w:r>
      <w:r w:rsidR="00E72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граждан в электронной форме (</w:t>
      </w:r>
      <w:r w:rsidRPr="00C62648">
        <w:rPr>
          <w:rFonts w:ascii="Times New Roman" w:hAnsi="Times New Roman" w:cs="Times New Roman"/>
          <w:sz w:val="28"/>
          <w:szCs w:val="28"/>
        </w:rPr>
        <w:t>через электронную почту и через сайт Министерства социальной политики Свердловской области (</w:t>
      </w:r>
      <w:r w:rsidR="00254B4D" w:rsidRPr="00254B4D">
        <w:rPr>
          <w:rFonts w:ascii="Times New Roman" w:hAnsi="Times New Roman" w:cs="Times New Roman"/>
          <w:sz w:val="28"/>
          <w:szCs w:val="28"/>
          <w:u w:val="single"/>
        </w:rPr>
        <w:t>http://msp.midural.ru/</w:t>
      </w:r>
      <w:r w:rsidRPr="00C62648">
        <w:rPr>
          <w:rFonts w:ascii="Times New Roman" w:hAnsi="Times New Roman" w:cs="Times New Roman"/>
          <w:sz w:val="28"/>
          <w:szCs w:val="28"/>
        </w:rPr>
        <w:t>) посредством   интерактивной страницы «</w:t>
      </w:r>
      <w:r w:rsidR="00254B4D" w:rsidRPr="00254B4D">
        <w:rPr>
          <w:rFonts w:ascii="Times New Roman" w:hAnsi="Times New Roman" w:cs="Times New Roman"/>
          <w:sz w:val="28"/>
          <w:szCs w:val="28"/>
        </w:rPr>
        <w:t>ОБРАТИТЬСЯ В МИНИСТЕРСТВО</w:t>
      </w:r>
      <w:r w:rsidRPr="00C62648">
        <w:rPr>
          <w:rFonts w:ascii="Times New Roman" w:hAnsi="Times New Roman" w:cs="Times New Roman"/>
          <w:sz w:val="28"/>
          <w:szCs w:val="28"/>
        </w:rPr>
        <w:t>»</w:t>
      </w:r>
      <w:r w:rsidR="00E72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7F4">
        <w:rPr>
          <w:rFonts w:ascii="Times New Roman" w:hAnsi="Times New Roman" w:cs="Times New Roman"/>
          <w:sz w:val="28"/>
          <w:szCs w:val="28"/>
        </w:rPr>
        <w:t xml:space="preserve"> </w:t>
      </w:r>
      <w:r w:rsidRPr="00C62648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254B4D" w:rsidRPr="00254B4D">
        <w:rPr>
          <w:rFonts w:ascii="Times New Roman" w:hAnsi="Times New Roman" w:cs="Times New Roman"/>
          <w:sz w:val="28"/>
          <w:szCs w:val="28"/>
        </w:rPr>
        <w:t xml:space="preserve">l квартал </w:t>
      </w:r>
      <w:r w:rsidRPr="00C6264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54B4D">
        <w:rPr>
          <w:rFonts w:ascii="Times New Roman" w:hAnsi="Times New Roman" w:cs="Times New Roman"/>
          <w:b/>
          <w:sz w:val="28"/>
          <w:szCs w:val="28"/>
        </w:rPr>
        <w:t xml:space="preserve">483 </w:t>
      </w:r>
      <w:proofErr w:type="gramStart"/>
      <w:r w:rsidRPr="00C62648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C6264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005F">
        <w:rPr>
          <w:rFonts w:ascii="Times New Roman" w:hAnsi="Times New Roman" w:cs="Times New Roman"/>
          <w:sz w:val="28"/>
          <w:szCs w:val="28"/>
        </w:rPr>
        <w:t>я</w:t>
      </w:r>
      <w:r w:rsidR="00A35CE7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E55D79">
        <w:rPr>
          <w:rFonts w:ascii="Times New Roman" w:hAnsi="Times New Roman" w:cs="Times New Roman"/>
          <w:sz w:val="28"/>
          <w:szCs w:val="28"/>
        </w:rPr>
        <w:t>3</w:t>
      </w:r>
      <w:r w:rsidR="00A35CE7">
        <w:rPr>
          <w:rFonts w:ascii="Times New Roman" w:hAnsi="Times New Roman" w:cs="Times New Roman"/>
          <w:sz w:val="28"/>
          <w:szCs w:val="28"/>
        </w:rPr>
        <w:t xml:space="preserve"> раза больше, чем в 201</w:t>
      </w:r>
      <w:r w:rsidR="00E55D79">
        <w:rPr>
          <w:rFonts w:ascii="Times New Roman" w:hAnsi="Times New Roman" w:cs="Times New Roman"/>
          <w:sz w:val="28"/>
          <w:szCs w:val="28"/>
        </w:rPr>
        <w:t>4</w:t>
      </w:r>
      <w:r w:rsidR="00A35CE7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E55D79">
        <w:rPr>
          <w:rFonts w:ascii="Times New Roman" w:hAnsi="Times New Roman" w:cs="Times New Roman"/>
          <w:sz w:val="28"/>
          <w:szCs w:val="28"/>
        </w:rPr>
        <w:t>151</w:t>
      </w:r>
      <w:r w:rsidR="00A35CE7">
        <w:rPr>
          <w:rFonts w:ascii="Times New Roman" w:hAnsi="Times New Roman" w:cs="Times New Roman"/>
          <w:sz w:val="28"/>
          <w:szCs w:val="28"/>
        </w:rPr>
        <w:t>)</w:t>
      </w:r>
      <w:r w:rsidRPr="00C62648">
        <w:rPr>
          <w:rFonts w:ascii="Times New Roman" w:hAnsi="Times New Roman" w:cs="Times New Roman"/>
          <w:sz w:val="28"/>
          <w:szCs w:val="28"/>
        </w:rPr>
        <w:t>.</w:t>
      </w:r>
    </w:p>
    <w:p w:rsidR="00230F29" w:rsidRDefault="00E747F4" w:rsidP="007D64EF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29"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 из городов и районов </w:t>
      </w:r>
      <w:r w:rsidR="00A40827" w:rsidRPr="00A408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Горнозаводского</w:t>
      </w:r>
      <w:r w:rsidR="00230F29"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управленческого округа Свердловской области (</w:t>
      </w:r>
      <w:r w:rsidR="00484E3B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230F29"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48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="00230F29"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управленческого округа Свердловской области (</w:t>
      </w:r>
      <w:r w:rsidR="00484E3B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230F29"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наименьшее (</w:t>
      </w:r>
      <w:r w:rsidR="00484E3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230F29"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00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0F29"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48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управленческого</w:t>
      </w:r>
      <w:r w:rsidR="00230F29"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 </w:t>
      </w:r>
    </w:p>
    <w:p w:rsidR="00783422" w:rsidRDefault="00783422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422" w:rsidRDefault="00783422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422" w:rsidRDefault="00783422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422" w:rsidRDefault="00783422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1984" w:rsidRDefault="00A11984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Диаграмма </w:t>
      </w:r>
      <w:r w:rsidR="00E54E7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484E3B" w:rsidRPr="00A11984" w:rsidRDefault="00484E3B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1984" w:rsidRPr="00A11984" w:rsidRDefault="00E747F4" w:rsidP="002517A3">
      <w:pPr>
        <w:tabs>
          <w:tab w:val="left" w:pos="8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Количество</w:t>
      </w:r>
      <w:r w:rsidR="00A11984" w:rsidRPr="00A1198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й граждан</w:t>
      </w:r>
      <w:r w:rsidR="00A11984" w:rsidRPr="00A1198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в </w:t>
      </w:r>
      <w:r w:rsidR="00A40827" w:rsidRPr="00A40827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l квартале</w:t>
      </w:r>
      <w:r w:rsidR="00A40827" w:rsidRPr="00A4082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A11984" w:rsidRPr="00A1198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201</w:t>
      </w:r>
      <w:r w:rsidR="00A4082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- 201</w:t>
      </w:r>
      <w:r w:rsidR="00A4082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5</w:t>
      </w:r>
      <w:r w:rsidR="00A11984" w:rsidRPr="00A1198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год</w:t>
      </w:r>
      <w:r w:rsidR="00E7296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ах</w:t>
      </w:r>
    </w:p>
    <w:p w:rsidR="00A11984" w:rsidRPr="00E54E75" w:rsidRDefault="00E54E75" w:rsidP="002517A3">
      <w:pPr>
        <w:tabs>
          <w:tab w:val="left" w:pos="8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4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управленческим округам</w:t>
      </w:r>
    </w:p>
    <w:p w:rsidR="00A11984" w:rsidRPr="00A11984" w:rsidRDefault="00A11984" w:rsidP="002517A3">
      <w:pPr>
        <w:tabs>
          <w:tab w:val="left" w:pos="8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3155">
        <w:rPr>
          <w:rFonts w:ascii="Times New Roman" w:eastAsia="Times New Roman" w:hAnsi="Times New Roman" w:cs="Times New Roman"/>
          <w:noProof/>
          <w:color w:val="17365D" w:themeColor="text2" w:themeShade="BF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2D9DCCA" wp14:editId="6AF80A78">
            <wp:simplePos x="0" y="0"/>
            <wp:positionH relativeFrom="column">
              <wp:posOffset>-180975</wp:posOffset>
            </wp:positionH>
            <wp:positionV relativeFrom="paragraph">
              <wp:posOffset>132080</wp:posOffset>
            </wp:positionV>
            <wp:extent cx="5753100" cy="58293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FD5" w:rsidRDefault="00675FD5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D5" w:rsidRDefault="00675FD5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85" w:rsidRDefault="00230F29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</w:t>
      </w:r>
      <w:r w:rsidR="002E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</w:t>
      </w:r>
    </w:p>
    <w:p w:rsidR="002E7485" w:rsidRDefault="002E7485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E7485" w:rsidRDefault="002E7485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E7485" w:rsidRDefault="002E7485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E7485" w:rsidRDefault="002E7485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E7485" w:rsidRDefault="002E7485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E7485" w:rsidRDefault="002E7485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0F29" w:rsidRDefault="00230F29" w:rsidP="00251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Наибольш</w:t>
      </w:r>
      <w:r w:rsidR="00A119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ее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119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количество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</w:t>
      </w:r>
      <w:r w:rsidR="00681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4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граждан поступило из следующих </w:t>
      </w:r>
      <w:r w:rsidR="00681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</w:t>
      </w:r>
      <w:r w:rsidR="00A119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униципальны</w:t>
      </w:r>
      <w:r w:rsidR="00E54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</w:t>
      </w:r>
      <w:r w:rsidR="00A119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образовани</w:t>
      </w:r>
      <w:r w:rsidR="00E54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Екатеринбург (</w:t>
      </w:r>
      <w:r w:rsidR="00484E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396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),</w:t>
      </w:r>
      <w:r w:rsidR="00681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4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</w:t>
      </w:r>
      <w:r w:rsidR="006063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ий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Тагил (</w:t>
      </w:r>
      <w:r w:rsidR="00484E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52</w:t>
      </w:r>
      <w:r w:rsidRPr="00230F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), Каменск-Уральск</w:t>
      </w:r>
      <w:r w:rsidR="006063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ий</w:t>
      </w:r>
      <w:r w:rsidR="00600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="00484E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37)</w:t>
      </w:r>
      <w:r w:rsidR="006359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ГО Первоуральск (20), </w:t>
      </w:r>
      <w:proofErr w:type="spellStart"/>
      <w:r w:rsidR="006359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Серовский</w:t>
      </w:r>
      <w:proofErr w:type="spellEnd"/>
      <w:r w:rsidR="006359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 (16)</w:t>
      </w:r>
      <w:r w:rsidR="00484E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D64EF" w:rsidRDefault="007D64EF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D64EF" w:rsidRDefault="007D64EF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D64EF" w:rsidRDefault="007D64EF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D64EF" w:rsidRDefault="007D64EF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D64EF" w:rsidRDefault="007D64EF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D64EF" w:rsidRDefault="007D64EF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11984" w:rsidRDefault="006816E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Диаграмма </w:t>
      </w:r>
      <w:r w:rsidR="003D04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</w:p>
    <w:p w:rsidR="006816E1" w:rsidRDefault="006816E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071" w:rsidRDefault="006816E1" w:rsidP="007D64EF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6E1">
        <w:rPr>
          <w:rFonts w:ascii="Times New Roman CYR" w:eastAsia="Times New Roman" w:hAnsi="Times New Roman CYR" w:cs="Times New Roman CYR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CB16B90" wp14:editId="3D7861E8">
            <wp:simplePos x="0" y="0"/>
            <wp:positionH relativeFrom="column">
              <wp:posOffset>-229870</wp:posOffset>
            </wp:positionH>
            <wp:positionV relativeFrom="paragraph">
              <wp:posOffset>369570</wp:posOffset>
            </wp:positionV>
            <wp:extent cx="6614160" cy="7589520"/>
            <wp:effectExtent l="0" t="0" r="15240" b="11430"/>
            <wp:wrapTight wrapText="bothSides">
              <wp:wrapPolygon edited="0">
                <wp:start x="0" y="0"/>
                <wp:lineTo x="0" y="21578"/>
                <wp:lineTo x="21588" y="21578"/>
                <wp:lineTo x="21588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71" w:rsidRDefault="00146071" w:rsidP="002517A3">
      <w:pPr>
        <w:spacing w:after="10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13F1" w:rsidRDefault="00B213F1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3F1" w:rsidRDefault="00B213F1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76D4" w:rsidRPr="00B776D4" w:rsidRDefault="00B776D4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76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Диаграмма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B776D4" w:rsidRPr="00B776D4" w:rsidRDefault="00B776D4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76D4" w:rsidRDefault="00B776D4" w:rsidP="00B7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Поступление обращений граждан в течение </w:t>
      </w:r>
      <w:r>
        <w:rPr>
          <w:rFonts w:ascii="Calibri" w:eastAsia="Times New Roman" w:hAnsi="Calibri" w:cs="Times New Roman"/>
          <w:b/>
          <w:sz w:val="28"/>
          <w:szCs w:val="20"/>
          <w:lang w:val="en-US" w:eastAsia="ru-RU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квартала 2015</w:t>
      </w:r>
      <w:r w:rsidRPr="00B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40404" w:rsidRPr="00B776D4" w:rsidRDefault="00040404" w:rsidP="00B7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6D4" w:rsidRPr="00B776D4" w:rsidRDefault="00B776D4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806440" cy="2976670"/>
            <wp:effectExtent l="0" t="0" r="381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64EF" w:rsidRDefault="007D64EF" w:rsidP="000114D6">
      <w:pPr>
        <w:spacing w:after="10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16E1" w:rsidRPr="006816E1" w:rsidRDefault="006816E1" w:rsidP="000114D6">
      <w:pPr>
        <w:spacing w:after="10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1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Рейтинговый анализ тематики обращений</w:t>
      </w:r>
    </w:p>
    <w:p w:rsidR="00DC0B5D" w:rsidRDefault="006816E1" w:rsidP="000752F3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Тематическая структура обращений граждан в целом  остается стабильной, но в 201</w:t>
      </w:r>
      <w:r w:rsidR="00EA234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по сравнению с 201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в ней отмечено определенное изменение, обусловленное общими социальными и экономическими процессами. </w:t>
      </w:r>
    </w:p>
    <w:p w:rsidR="00FC2027" w:rsidRDefault="00DC0B5D" w:rsidP="00DC0B5D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Неизменно</w:t>
      </w:r>
      <w:r w:rsidR="00E74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4E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остается достаточно высоким количество </w:t>
      </w:r>
      <w:r w:rsidR="007E0D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обращений</w:t>
      </w:r>
      <w:r w:rsidR="00FC20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</w:t>
      </w:r>
      <w:r w:rsidR="006816E1"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52F3" w:rsidRP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вопросам начисления пособий и о праве на компенсационные выплаты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752F3" w:rsidRP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20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вопросам </w:t>
      </w:r>
      <w:r w:rsidR="006816E1"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</w:t>
      </w:r>
      <w:r w:rsidR="00FC202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6816E1"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такси, </w:t>
      </w:r>
      <w:r w:rsidR="002F6B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устройства в дома 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F46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интернаты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752F3" w:rsidRP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усыновления (удочерения) детей</w:t>
      </w:r>
      <w:r w:rsidR="00704EA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C2027" w:rsidRDefault="00FC2027" w:rsidP="00DC0B5D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обращений граждан по категориям заявителей позволил сделать вывод о том, что чаще всего в Министерство социальной политики Свердловской области  в 201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 w:rsidR="00E729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обращались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94F8E" w:rsidRDefault="00E72966" w:rsidP="007D64E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C2027"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</w:t>
      </w:r>
      <w:r w:rsidR="00FC2027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C2027"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общему заболеванию;</w:t>
      </w:r>
      <w:r w:rsidR="00FC2027" w:rsidRPr="00173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94F8E" w:rsidRDefault="00894F8E" w:rsidP="007D64E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14012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многодетные   семьи</w:t>
      </w:r>
      <w:r w:rsidR="00FC20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семьи</w:t>
      </w:r>
      <w:r w:rsidR="00FC2027"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детьми-инвалидами; </w:t>
      </w:r>
    </w:p>
    <w:p w:rsidR="00894F8E" w:rsidRDefault="00894F8E" w:rsidP="007D64E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C2027"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ветеран</w:t>
      </w:r>
      <w:r w:rsidR="00FC2027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C2027"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труда; </w:t>
      </w:r>
    </w:p>
    <w:p w:rsidR="000752F3" w:rsidRDefault="000752F3" w:rsidP="007D64E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малоимущие граждане (семьи);</w:t>
      </w:r>
    </w:p>
    <w:p w:rsidR="00894F8E" w:rsidRDefault="00894F8E" w:rsidP="007D64E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C2027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ветераны</w:t>
      </w:r>
      <w:r w:rsidR="00FC2027"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войны и труженик</w:t>
      </w:r>
      <w:r w:rsidR="00FC202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FC2027"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тыла</w:t>
      </w:r>
      <w:r w:rsidR="000752F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752F3" w:rsidRDefault="000752F3" w:rsidP="007D64E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беженцы.</w:t>
      </w:r>
    </w:p>
    <w:p w:rsidR="00FC2027" w:rsidRPr="003D040E" w:rsidRDefault="00FC2027" w:rsidP="00894F8E">
      <w:pPr>
        <w:tabs>
          <w:tab w:val="left" w:pos="8080"/>
        </w:tabs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были рассмотрены обращения </w:t>
      </w:r>
      <w:r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пострадавших при техногенных радиационных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>авариях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реабилитированных</w:t>
      </w:r>
      <w:r w:rsidR="0089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участников боевых действий Вооруженных Сил России и ветеранов подразделений особого риска, репрессированных</w:t>
      </w:r>
      <w:r w:rsidR="0089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инвалидов</w:t>
      </w:r>
      <w:r w:rsidR="0089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Великой Отечественной войны, вдов участников (инвалидов) Великой Отечественной войны.</w:t>
      </w:r>
    </w:p>
    <w:p w:rsidR="00A77D7B" w:rsidRDefault="00FC2027" w:rsidP="002F6B78">
      <w:pPr>
        <w:tabs>
          <w:tab w:val="left" w:pos="8080"/>
        </w:tabs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социальному составу заявителей представлены все основные группы населения</w:t>
      </w:r>
      <w:r w:rsidR="00B409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A4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</w:t>
      </w:r>
      <w:r w:rsidR="00A77D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лее часто обращаются пенсионеры; </w:t>
      </w:r>
      <w:r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опекуны</w:t>
      </w:r>
      <w:r w:rsidR="00A77D7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5E3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безработные</w:t>
      </w:r>
      <w:r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9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также </w:t>
      </w:r>
      <w:r w:rsidR="00455E3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домохозяйки</w:t>
      </w:r>
      <w:r w:rsidR="00A77D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816E1" w:rsidRPr="006816E1" w:rsidRDefault="00A77D7B" w:rsidP="002F6B78">
      <w:pPr>
        <w:tabs>
          <w:tab w:val="left" w:pos="8080"/>
        </w:tabs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</w:t>
      </w:r>
      <w:r w:rsidR="00B4093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собо надо отметить нарастающее количество обращений, поступающих от беженцев (преимущественно  с территории Украины)</w:t>
      </w:r>
      <w:r w:rsidR="00B4093D"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C2027" w:rsidRPr="003D0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894F8E" w:rsidRDefault="00894F8E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6E1" w:rsidRDefault="006816E1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Диаграмма </w:t>
      </w:r>
      <w:r w:rsidR="007D64E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7D64EF" w:rsidRPr="006816E1" w:rsidRDefault="007D64EF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6E1" w:rsidRDefault="006816E1" w:rsidP="002517A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6B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Тематика обращений граждан в </w:t>
      </w:r>
      <w:r w:rsidR="007D64EF" w:rsidRPr="007D64E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l</w:t>
      </w:r>
      <w:r w:rsidR="007D64EF" w:rsidRPr="007D64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квартала </w:t>
      </w:r>
      <w:r w:rsidRPr="002F6B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</w:t>
      </w:r>
      <w:r w:rsidR="009E23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2F6B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</w:t>
      </w:r>
    </w:p>
    <w:p w:rsidR="002F6B78" w:rsidRPr="002F6B78" w:rsidRDefault="002F6B78" w:rsidP="002517A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F29" w:rsidRDefault="006816E1" w:rsidP="009314B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D64EF">
        <w:rPr>
          <w:rFonts w:ascii="Times New Roman" w:eastAsia="Times New Roman" w:hAnsi="Times New Roman" w:cs="Times New Roman"/>
          <w:noProof/>
          <w:color w:val="00B0F0"/>
          <w:sz w:val="20"/>
          <w:szCs w:val="20"/>
          <w:highlight w:val="blue"/>
          <w:lang w:eastAsia="ru-RU"/>
        </w:rPr>
        <w:drawing>
          <wp:inline distT="0" distB="0" distL="0" distR="0" wp14:anchorId="72261C2D" wp14:editId="3B13D56C">
            <wp:extent cx="6560820" cy="5913120"/>
            <wp:effectExtent l="19050" t="19050" r="30480" b="3048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64CA" w:rsidRDefault="006D64CA" w:rsidP="009249B7">
      <w:pPr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9B7" w:rsidRPr="00B213F1" w:rsidRDefault="009249B7" w:rsidP="009249B7">
      <w:pPr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устных обращений граждан в </w:t>
      </w:r>
      <w:r w:rsidR="006D64CA" w:rsidRPr="00B213F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="006D64CA" w:rsidRPr="00B213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2015 </w:t>
      </w:r>
      <w:r w:rsidRPr="009249B7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было рассмотрено специалистами:</w:t>
      </w:r>
    </w:p>
    <w:p w:rsidR="00B213F1" w:rsidRPr="009249B7" w:rsidRDefault="00B213F1" w:rsidP="00B213F1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49B7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отдела обеспечения и контроля социальных выпла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</w:t>
      </w:r>
      <w:r w:rsidRPr="00B21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(325)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249B7" w:rsidRPr="009249B7" w:rsidRDefault="009249B7" w:rsidP="00B213F1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49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отдела обеспечения социальных гарантий </w:t>
      </w:r>
      <w:r w:rsidRPr="00924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</w:t>
      </w:r>
      <w:r w:rsidR="00B213F1" w:rsidRPr="00B21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924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B213F1" w:rsidRPr="00B21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924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  <w:r w:rsidRPr="009249B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249B7" w:rsidRPr="009249B7" w:rsidRDefault="009249B7" w:rsidP="00B213F1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49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отдела </w:t>
      </w:r>
      <w:r w:rsidR="00B213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и контроля деятельности по опеке и попечительству </w:t>
      </w:r>
      <w:r w:rsidR="00B213F1" w:rsidRPr="00B21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(144</w:t>
      </w:r>
      <w:r w:rsidRPr="00924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  <w:r w:rsidR="00B213F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249B7" w:rsidRDefault="009249B7" w:rsidP="002517A3">
      <w:pPr>
        <w:tabs>
          <w:tab w:val="center" w:pos="4536"/>
          <w:tab w:val="right" w:pos="9072"/>
        </w:tabs>
        <w:spacing w:afterLines="10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2648" w:rsidRDefault="00C62648" w:rsidP="002517A3">
      <w:pPr>
        <w:tabs>
          <w:tab w:val="center" w:pos="4536"/>
          <w:tab w:val="right" w:pos="9072"/>
        </w:tabs>
        <w:spacing w:afterLines="10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2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Работа с устными обращениями граждан</w:t>
      </w:r>
    </w:p>
    <w:p w:rsidR="009249B7" w:rsidRDefault="00C62648" w:rsidP="009249B7">
      <w:pPr>
        <w:pStyle w:val="2"/>
        <w:tabs>
          <w:tab w:val="left" w:pos="808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62648">
        <w:rPr>
          <w:sz w:val="28"/>
          <w:szCs w:val="28"/>
        </w:rPr>
        <w:t xml:space="preserve">В практике работы сложилась система по приему населения  руководителями исполнительных органов государственной власти Свердловской области. В соответствии с ежемесячным графиком </w:t>
      </w:r>
      <w:r w:rsidR="001E083E">
        <w:rPr>
          <w:sz w:val="28"/>
          <w:szCs w:val="28"/>
        </w:rPr>
        <w:t>руководителями Министерства социальной политики Свердловской области</w:t>
      </w:r>
      <w:r w:rsidRPr="00C62648">
        <w:rPr>
          <w:sz w:val="28"/>
          <w:szCs w:val="28"/>
        </w:rPr>
        <w:t xml:space="preserve"> в </w:t>
      </w:r>
      <w:r w:rsidR="007D64EF" w:rsidRPr="007D64EF">
        <w:rPr>
          <w:sz w:val="28"/>
          <w:szCs w:val="28"/>
        </w:rPr>
        <w:t xml:space="preserve">l квартала </w:t>
      </w:r>
      <w:r w:rsidRPr="00C62648">
        <w:rPr>
          <w:sz w:val="28"/>
          <w:szCs w:val="28"/>
        </w:rPr>
        <w:t>201</w:t>
      </w:r>
      <w:r w:rsidR="007D64EF">
        <w:rPr>
          <w:sz w:val="28"/>
          <w:szCs w:val="28"/>
        </w:rPr>
        <w:t>5</w:t>
      </w:r>
      <w:r w:rsidRPr="00C62648">
        <w:rPr>
          <w:sz w:val="28"/>
          <w:szCs w:val="28"/>
        </w:rPr>
        <w:t xml:space="preserve"> год</w:t>
      </w:r>
      <w:r w:rsidR="007D64EF">
        <w:rPr>
          <w:sz w:val="28"/>
          <w:szCs w:val="28"/>
        </w:rPr>
        <w:t>а</w:t>
      </w:r>
      <w:r w:rsidRPr="00C62648">
        <w:rPr>
          <w:sz w:val="28"/>
          <w:szCs w:val="28"/>
        </w:rPr>
        <w:t xml:space="preserve"> </w:t>
      </w:r>
      <w:r w:rsidR="00894F8E" w:rsidRPr="00C62648">
        <w:rPr>
          <w:sz w:val="28"/>
          <w:szCs w:val="28"/>
        </w:rPr>
        <w:t xml:space="preserve">проведено </w:t>
      </w:r>
      <w:r w:rsidR="00880284" w:rsidRPr="00880284">
        <w:rPr>
          <w:color w:val="000000" w:themeColor="text1"/>
          <w:sz w:val="28"/>
          <w:szCs w:val="28"/>
        </w:rPr>
        <w:t>3</w:t>
      </w:r>
      <w:r w:rsidR="00A77D7B" w:rsidRPr="00880284">
        <w:rPr>
          <w:color w:val="000000" w:themeColor="text1"/>
          <w:sz w:val="28"/>
          <w:szCs w:val="28"/>
        </w:rPr>
        <w:t>3</w:t>
      </w:r>
      <w:r w:rsidRPr="00880284">
        <w:rPr>
          <w:color w:val="000000" w:themeColor="text1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приема граждан</w:t>
      </w:r>
      <w:r w:rsidR="007D64EF">
        <w:rPr>
          <w:sz w:val="28"/>
          <w:szCs w:val="28"/>
        </w:rPr>
        <w:t>, в том числе</w:t>
      </w:r>
      <w:r w:rsidR="001E083E">
        <w:rPr>
          <w:sz w:val="28"/>
          <w:szCs w:val="28"/>
        </w:rPr>
        <w:t xml:space="preserve"> в рамках приема граждан в Правительстве Свердловской области и Дней министерств  в муниципальных образованиях Свердловской области</w:t>
      </w:r>
      <w:r w:rsidRPr="00C62648">
        <w:rPr>
          <w:sz w:val="28"/>
          <w:szCs w:val="28"/>
        </w:rPr>
        <w:t>.</w:t>
      </w:r>
      <w:r w:rsidR="009249B7" w:rsidRPr="009249B7">
        <w:rPr>
          <w:sz w:val="28"/>
          <w:szCs w:val="28"/>
        </w:rPr>
        <w:t xml:space="preserve"> </w:t>
      </w:r>
      <w:r w:rsidR="009249B7" w:rsidRPr="009179DA">
        <w:rPr>
          <w:sz w:val="28"/>
          <w:szCs w:val="28"/>
        </w:rPr>
        <w:t>По всем устным обращениям граждан даны необходимые разъяснения и поручения соответствующим исполнителям.</w:t>
      </w:r>
    </w:p>
    <w:p w:rsidR="006D64CA" w:rsidRDefault="006D64CA" w:rsidP="009249B7">
      <w:pPr>
        <w:pStyle w:val="2"/>
        <w:tabs>
          <w:tab w:val="left" w:pos="8080"/>
        </w:tabs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6D64CA" w:rsidRPr="006D64CA" w:rsidRDefault="006D64CA" w:rsidP="006D6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64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6D64CA" w:rsidRPr="006D64CA" w:rsidRDefault="006D64CA" w:rsidP="006D6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CA" w:rsidRDefault="006D64CA" w:rsidP="006D6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социальной политики Свердловской области вопросы рассмотрения обращений граждан находятся на особом контроле. Повышение эффективности рассмотрения обращений граждан обеспечено,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 (еженедельное информирование Министра о результатах рассмотрения обращений граждан).</w:t>
      </w:r>
    </w:p>
    <w:p w:rsidR="002B02C4" w:rsidRPr="002B02C4" w:rsidRDefault="002B02C4" w:rsidP="006D64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2C4">
        <w:rPr>
          <w:rFonts w:ascii="Times New Roman" w:hAnsi="Times New Roman" w:cs="Times New Roman"/>
          <w:sz w:val="28"/>
          <w:szCs w:val="28"/>
        </w:rPr>
        <w:t>За отчетный период в Министерство социальной политики Свердловской области жалоб и обращений граждан и организаций  о фактах совершения коррупционных правонарушений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4CA" w:rsidRDefault="00072736" w:rsidP="006D64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736">
        <w:rPr>
          <w:rFonts w:ascii="Times New Roman" w:hAnsi="Times New Roman" w:cs="Times New Roman"/>
          <w:sz w:val="28"/>
          <w:szCs w:val="28"/>
        </w:rPr>
        <w:t xml:space="preserve">К сожалению, имеют место быть повторные обращения граждан, </w:t>
      </w:r>
      <w:r w:rsidR="00894F8E">
        <w:rPr>
          <w:rFonts w:ascii="Times New Roman" w:hAnsi="Times New Roman" w:cs="Times New Roman"/>
          <w:sz w:val="28"/>
          <w:szCs w:val="28"/>
        </w:rPr>
        <w:t>жалобы</w:t>
      </w:r>
      <w:r w:rsidR="000114D6">
        <w:rPr>
          <w:rFonts w:ascii="Times New Roman" w:hAnsi="Times New Roman" w:cs="Times New Roman"/>
          <w:sz w:val="28"/>
          <w:szCs w:val="28"/>
        </w:rPr>
        <w:t xml:space="preserve"> </w:t>
      </w:r>
      <w:r w:rsidRPr="00072736">
        <w:rPr>
          <w:rFonts w:ascii="Times New Roman" w:hAnsi="Times New Roman" w:cs="Times New Roman"/>
          <w:sz w:val="28"/>
          <w:szCs w:val="28"/>
        </w:rPr>
        <w:t xml:space="preserve"> на руководителей и сотрудников Управлений социальной политики и учреждений</w:t>
      </w:r>
      <w:r w:rsidR="000114D6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Pr="00072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035" w:rsidRPr="009249B7" w:rsidRDefault="00062035" w:rsidP="006D64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9B7">
        <w:rPr>
          <w:rFonts w:ascii="Times New Roman" w:hAnsi="Times New Roman" w:cs="Times New Roman"/>
          <w:sz w:val="28"/>
          <w:szCs w:val="28"/>
        </w:rPr>
        <w:t xml:space="preserve">Достаточно большое количество обращений поступает от сотрудников подведомственных </w:t>
      </w:r>
      <w:r w:rsidR="00F464C6" w:rsidRPr="009249B7">
        <w:rPr>
          <w:rFonts w:ascii="Times New Roman" w:hAnsi="Times New Roman" w:cs="Times New Roman"/>
          <w:sz w:val="28"/>
          <w:szCs w:val="28"/>
        </w:rPr>
        <w:t>учреждений</w:t>
      </w:r>
      <w:r w:rsidRPr="009249B7">
        <w:rPr>
          <w:rFonts w:ascii="Times New Roman" w:hAnsi="Times New Roman" w:cs="Times New Roman"/>
          <w:sz w:val="28"/>
          <w:szCs w:val="28"/>
        </w:rPr>
        <w:t xml:space="preserve"> по проблематике</w:t>
      </w:r>
      <w:r w:rsidR="00F464C6" w:rsidRPr="009249B7">
        <w:rPr>
          <w:rFonts w:ascii="Times New Roman" w:hAnsi="Times New Roman" w:cs="Times New Roman"/>
          <w:sz w:val="28"/>
          <w:szCs w:val="28"/>
        </w:rPr>
        <w:t>,</w:t>
      </w:r>
      <w:r w:rsidRPr="009249B7">
        <w:rPr>
          <w:rFonts w:ascii="Times New Roman" w:hAnsi="Times New Roman" w:cs="Times New Roman"/>
          <w:sz w:val="28"/>
          <w:szCs w:val="28"/>
        </w:rPr>
        <w:t xml:space="preserve">  напрямую относящейся к компетенции руководителей учреждений (по вопросам начисления заработной платы, о разъяснении трудовых прав и т.п.). </w:t>
      </w:r>
    </w:p>
    <w:p w:rsidR="00062035" w:rsidRDefault="00062035" w:rsidP="006D64CA">
      <w:pPr>
        <w:pStyle w:val="a8"/>
        <w:tabs>
          <w:tab w:val="clear" w:pos="4536"/>
          <w:tab w:val="clear" w:pos="9072"/>
        </w:tabs>
        <w:ind w:firstLine="567"/>
        <w:rPr>
          <w:szCs w:val="28"/>
        </w:rPr>
      </w:pPr>
      <w:r>
        <w:rPr>
          <w:szCs w:val="28"/>
        </w:rPr>
        <w:t xml:space="preserve">Все это говорит о необходимости серьёзного анализа </w:t>
      </w:r>
      <w:r w:rsidR="00452D29">
        <w:rPr>
          <w:szCs w:val="28"/>
        </w:rPr>
        <w:t xml:space="preserve"> обращений граждан </w:t>
      </w:r>
      <w:r>
        <w:rPr>
          <w:szCs w:val="28"/>
        </w:rPr>
        <w:t xml:space="preserve">на местах  и </w:t>
      </w:r>
      <w:r w:rsidR="00146071">
        <w:rPr>
          <w:szCs w:val="28"/>
        </w:rPr>
        <w:t xml:space="preserve"> выстраивании   работы  с обращениями граждан в территориальных управлениях социальной политики</w:t>
      </w:r>
      <w:r w:rsidR="00452D29">
        <w:rPr>
          <w:szCs w:val="28"/>
        </w:rPr>
        <w:t xml:space="preserve"> </w:t>
      </w:r>
      <w:r w:rsidR="00894F8E">
        <w:rPr>
          <w:szCs w:val="28"/>
        </w:rPr>
        <w:t xml:space="preserve">в </w:t>
      </w:r>
      <w:r w:rsidR="00452D29">
        <w:rPr>
          <w:szCs w:val="28"/>
        </w:rPr>
        <w:t>соответствии с</w:t>
      </w:r>
      <w:r w:rsidR="00452D29">
        <w:t xml:space="preserve"> Федеральным законом</w:t>
      </w:r>
      <w:r w:rsidR="00452D29" w:rsidRPr="000E4D13">
        <w:t xml:space="preserve"> </w:t>
      </w:r>
      <w:r w:rsidR="00452D29">
        <w:t>от</w:t>
      </w:r>
      <w:r w:rsidR="007A3CE9">
        <w:t> </w:t>
      </w:r>
      <w:r w:rsidR="00452D29">
        <w:t>02</w:t>
      </w:r>
      <w:r w:rsidR="00D40631">
        <w:t xml:space="preserve"> мая </w:t>
      </w:r>
      <w:r w:rsidR="00452D29">
        <w:t>2006   № 59-ФЗ «</w:t>
      </w:r>
      <w:r w:rsidR="00452D29" w:rsidRPr="000E4D13">
        <w:t>О порядке рассмотрения обращен</w:t>
      </w:r>
      <w:r w:rsidR="00452D29">
        <w:t>ий граждан Российской Федерации»</w:t>
      </w:r>
      <w:r w:rsidR="00146071">
        <w:rPr>
          <w:szCs w:val="28"/>
        </w:rPr>
        <w:t>.</w:t>
      </w:r>
    </w:p>
    <w:sectPr w:rsidR="00062035" w:rsidSect="006816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4"/>
    <w:rsid w:val="000114D6"/>
    <w:rsid w:val="00014012"/>
    <w:rsid w:val="00021C7B"/>
    <w:rsid w:val="00040404"/>
    <w:rsid w:val="00062035"/>
    <w:rsid w:val="0006448A"/>
    <w:rsid w:val="00072736"/>
    <w:rsid w:val="000752F3"/>
    <w:rsid w:val="00146071"/>
    <w:rsid w:val="00173EDD"/>
    <w:rsid w:val="001D2CD2"/>
    <w:rsid w:val="001E083E"/>
    <w:rsid w:val="001F547F"/>
    <w:rsid w:val="00230F29"/>
    <w:rsid w:val="002517A3"/>
    <w:rsid w:val="00254B4D"/>
    <w:rsid w:val="002B02C4"/>
    <w:rsid w:val="002E7485"/>
    <w:rsid w:val="002F6B78"/>
    <w:rsid w:val="00341285"/>
    <w:rsid w:val="00383276"/>
    <w:rsid w:val="003D040E"/>
    <w:rsid w:val="003D3155"/>
    <w:rsid w:val="00404A6F"/>
    <w:rsid w:val="00452D29"/>
    <w:rsid w:val="00455E33"/>
    <w:rsid w:val="00484E3B"/>
    <w:rsid w:val="004A5335"/>
    <w:rsid w:val="004E0103"/>
    <w:rsid w:val="004F623B"/>
    <w:rsid w:val="005A4B63"/>
    <w:rsid w:val="005D2595"/>
    <w:rsid w:val="00600D0A"/>
    <w:rsid w:val="00606388"/>
    <w:rsid w:val="0063465D"/>
    <w:rsid w:val="006359F1"/>
    <w:rsid w:val="00644978"/>
    <w:rsid w:val="00675FD5"/>
    <w:rsid w:val="006816E1"/>
    <w:rsid w:val="006B3622"/>
    <w:rsid w:val="006D64CA"/>
    <w:rsid w:val="00704EAB"/>
    <w:rsid w:val="00783422"/>
    <w:rsid w:val="007A3CE9"/>
    <w:rsid w:val="007D64EF"/>
    <w:rsid w:val="007E0D96"/>
    <w:rsid w:val="00880284"/>
    <w:rsid w:val="00883667"/>
    <w:rsid w:val="00894F8E"/>
    <w:rsid w:val="009249B7"/>
    <w:rsid w:val="009314B9"/>
    <w:rsid w:val="009322EB"/>
    <w:rsid w:val="00936A83"/>
    <w:rsid w:val="009C649D"/>
    <w:rsid w:val="009E2386"/>
    <w:rsid w:val="00A11984"/>
    <w:rsid w:val="00A30B72"/>
    <w:rsid w:val="00A35CE7"/>
    <w:rsid w:val="00A40827"/>
    <w:rsid w:val="00A77D7B"/>
    <w:rsid w:val="00B213F1"/>
    <w:rsid w:val="00B34B9E"/>
    <w:rsid w:val="00B4093D"/>
    <w:rsid w:val="00B776D4"/>
    <w:rsid w:val="00C62648"/>
    <w:rsid w:val="00C6277F"/>
    <w:rsid w:val="00C76184"/>
    <w:rsid w:val="00C77B90"/>
    <w:rsid w:val="00CD3682"/>
    <w:rsid w:val="00CF14BF"/>
    <w:rsid w:val="00D349A8"/>
    <w:rsid w:val="00D40631"/>
    <w:rsid w:val="00DC0B5D"/>
    <w:rsid w:val="00E07B2E"/>
    <w:rsid w:val="00E54E75"/>
    <w:rsid w:val="00E55D79"/>
    <w:rsid w:val="00E60BBE"/>
    <w:rsid w:val="00E71237"/>
    <w:rsid w:val="00E72966"/>
    <w:rsid w:val="00E747F4"/>
    <w:rsid w:val="00E9005F"/>
    <w:rsid w:val="00EA2347"/>
    <w:rsid w:val="00F312B4"/>
    <w:rsid w:val="00F464C6"/>
    <w:rsid w:val="00F917F4"/>
    <w:rsid w:val="00FC2027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/>
        </a:solidFill>
        <a:ln w="12700">
          <a:solidFill>
            <a:schemeClr val="tx1"/>
          </a:solidFill>
          <a:prstDash val="solid"/>
        </a:ln>
      </c:spPr>
    </c:sideWall>
    <c:backWall>
      <c:thickness val="0"/>
      <c:spPr>
        <a:solidFill>
          <a:schemeClr val="bg1"/>
        </a:solidFill>
        <a:ln w="12700">
          <a:solidFill>
            <a:schemeClr val="tx1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67289719626169"/>
          <c:y val="0.16112289469351387"/>
          <c:w val="0.53761657452392919"/>
          <c:h val="0.676625246567426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Обращения</c:v>
                </c:pt>
              </c:strCache>
            </c:strRef>
          </c:tx>
          <c:spPr>
            <a:solidFill>
              <a:srgbClr val="FF00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349844567301429E-2"/>
                  <c:y val="-2.5799684522193347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400588224344296E-2"/>
                  <c:y val="-3.4581345435268883E-2"/>
                </c:manualLayout>
              </c:layout>
              <c:spPr>
                <a:noFill/>
                <a:ln w="25354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206812652068127E-2"/>
                  <c:y val="-1.5822784810126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2068126520681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2015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855</c:v>
                </c:pt>
                <c:pt idx="1">
                  <c:v>1036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167616"/>
        <c:axId val="153145280"/>
        <c:axId val="0"/>
      </c:bar3DChart>
      <c:catAx>
        <c:axId val="15716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145280"/>
        <c:crosses val="autoZero"/>
        <c:auto val="1"/>
        <c:lblAlgn val="ctr"/>
        <c:lblOffset val="100"/>
        <c:tickMarkSkip val="1"/>
        <c:noMultiLvlLbl val="0"/>
      </c:catAx>
      <c:valAx>
        <c:axId val="15314528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167616"/>
        <c:crosses val="autoZero"/>
        <c:crossBetween val="between"/>
      </c:valAx>
      <c:spPr>
        <a:noFill/>
        <a:ln w="2535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538430036670952"/>
          <c:y val="0.39561822013627607"/>
          <c:w val="0.23512965134677313"/>
          <c:h val="0.1459017346078972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67563930013462"/>
          <c:y val="1.9099590723055934E-2"/>
          <c:w val="0.41318977119784661"/>
          <c:h val="0.8594815825375170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в 2014 году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17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Иные территории</c:v>
                </c:pt>
                <c:pt idx="1">
                  <c:v>Северный </c:v>
                </c:pt>
                <c:pt idx="2">
                  <c:v>Южный </c:v>
                </c:pt>
                <c:pt idx="3">
                  <c:v>Западный </c:v>
                </c:pt>
                <c:pt idx="4">
                  <c:v>Горнозаводской </c:v>
                </c:pt>
                <c:pt idx="5">
                  <c:v>Восточный </c:v>
                </c:pt>
                <c:pt idx="6">
                  <c:v>город Екатеринбург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159</c:v>
                </c:pt>
                <c:pt idx="1">
                  <c:v>79</c:v>
                </c:pt>
                <c:pt idx="2">
                  <c:v>62</c:v>
                </c:pt>
                <c:pt idx="3">
                  <c:v>66</c:v>
                </c:pt>
                <c:pt idx="4">
                  <c:v>59</c:v>
                </c:pt>
                <c:pt idx="5">
                  <c:v>79</c:v>
                </c:pt>
                <c:pt idx="6">
                  <c:v>351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в 2015 году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Иные территории</c:v>
                </c:pt>
                <c:pt idx="1">
                  <c:v>Северный </c:v>
                </c:pt>
                <c:pt idx="2">
                  <c:v>Южный </c:v>
                </c:pt>
                <c:pt idx="3">
                  <c:v>Западный </c:v>
                </c:pt>
                <c:pt idx="4">
                  <c:v>Горнозаводской </c:v>
                </c:pt>
                <c:pt idx="5">
                  <c:v>Восточный </c:v>
                </c:pt>
                <c:pt idx="6">
                  <c:v>город Екатеринбург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178</c:v>
                </c:pt>
                <c:pt idx="1">
                  <c:v>77</c:v>
                </c:pt>
                <c:pt idx="2">
                  <c:v>93</c:v>
                </c:pt>
                <c:pt idx="3">
                  <c:v>88</c:v>
                </c:pt>
                <c:pt idx="4">
                  <c:v>107</c:v>
                </c:pt>
                <c:pt idx="5">
                  <c:v>97</c:v>
                </c:pt>
                <c:pt idx="6">
                  <c:v>396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295936"/>
        <c:axId val="165708928"/>
      </c:barChart>
      <c:catAx>
        <c:axId val="160295936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out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7" b="0" i="1" u="none" strike="noStrike" baseline="0">
                <a:solidFill>
                  <a:srgbClr val="000000"/>
                </a:solidFill>
                <a:latin typeface="BrowalliaUPC"/>
                <a:ea typeface="BrowalliaUPC"/>
                <a:cs typeface="BrowalliaUPC"/>
              </a:defRPr>
            </a:pPr>
            <a:endParaRPr lang="ru-RU"/>
          </a:p>
        </c:txPr>
        <c:crossAx val="16570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708928"/>
        <c:scaling>
          <c:orientation val="minMax"/>
        </c:scaling>
        <c:delete val="0"/>
        <c:axPos val="b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1" u="none" strike="noStrike" baseline="0">
                <a:solidFill>
                  <a:srgbClr val="0000FF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295936"/>
        <c:crosses val="autoZero"/>
        <c:crossBetween val="between"/>
        <c:majorUnit val="500"/>
      </c:valAx>
      <c:spPr>
        <a:solidFill>
          <a:schemeClr val="accent2">
            <a:lumMod val="20000"/>
            <a:lumOff val="80000"/>
          </a:schemeClr>
        </a:solidFill>
        <a:ln w="316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889636608344567"/>
          <c:y val="0.39154160982264663"/>
          <c:w val="0.22998341625207297"/>
          <c:h val="0.10993729232121847"/>
        </c:manualLayout>
      </c:layout>
      <c:overlay val="1"/>
      <c:spPr>
        <a:solidFill>
          <a:schemeClr val="accent2">
            <a:lumMod val="20000"/>
            <a:lumOff val="80000"/>
          </a:schemeClr>
        </a:solidFill>
        <a:ln w="12700">
          <a:solidFill>
            <a:schemeClr val="tx1"/>
          </a:solidFill>
          <a:prstDash val="solid"/>
        </a:ln>
      </c:spPr>
      <c:txPr>
        <a:bodyPr/>
        <a:lstStyle/>
        <a:p>
          <a:pPr>
            <a:defRPr sz="158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00">
      <a:pattFill prst="pct75">
        <a:fgClr>
          <a:srgbClr val="0000FF"/>
        </a:fgClr>
        <a:bgClr>
          <a:srgbClr val="FFFFFF"/>
        </a:bgClr>
      </a:pattFill>
      <a:prstDash val="solid"/>
    </a:ln>
    <a:effectLst/>
  </c:spPr>
  <c:txPr>
    <a:bodyPr/>
    <a:lstStyle/>
    <a:p>
      <a:pPr>
        <a:defRPr sz="17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haroni" panose="02010803020104030203" pitchFamily="2" charset="-79"/>
                <a:cs typeface="Aharoni" panose="02010803020104030203" pitchFamily="2" charset="-79"/>
              </a:defRPr>
            </a:pPr>
            <a:r>
              <a:rPr lang="ru-RU" i="0">
                <a:solidFill>
                  <a:srgbClr val="FF0000"/>
                </a:solidFill>
                <a:cs typeface="Aharoni" panose="02010803020104030203" pitchFamily="2" charset="-79"/>
              </a:rPr>
              <a:t>Количество обращений  граждан по муниципальным образованиям</a:t>
            </a:r>
            <a:endParaRPr lang="en-US" i="0">
              <a:solidFill>
                <a:srgbClr val="FF0000"/>
              </a:solidFill>
              <a:latin typeface="Aharoni" panose="02010803020104030203" pitchFamily="2" charset="-79"/>
              <a:cs typeface="Aharoni" panose="02010803020104030203" pitchFamily="2" charset="-79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3493686273086833E-2"/>
          <c:y val="0.15013466281538929"/>
          <c:w val="0.88780223036636552"/>
          <c:h val="0.7737071646164711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solidFill>
              <a:srgbClr val="F22EC3"/>
            </a:solidFill>
            <a:ln>
              <a:gradFill>
                <a:gsLst>
                  <a:gs pos="0">
                    <a:srgbClr val="FC9FCB"/>
                  </a:gs>
                  <a:gs pos="13000">
                    <a:srgbClr val="F8B049"/>
                  </a:gs>
                  <a:gs pos="21001">
                    <a:srgbClr val="F8B049"/>
                  </a:gs>
                  <a:gs pos="63000">
                    <a:srgbClr val="FEE7F2"/>
                  </a:gs>
                  <a:gs pos="67000">
                    <a:srgbClr val="F952A0"/>
                  </a:gs>
                  <a:gs pos="69000">
                    <a:srgbClr val="C50849"/>
                  </a:gs>
                  <a:gs pos="82001">
                    <a:srgbClr val="B43E85"/>
                  </a:gs>
                  <a:gs pos="100000">
                    <a:srgbClr val="F8B049"/>
                  </a:gs>
                </a:gsLst>
                <a:lin ang="5400000" scaled="0"/>
              </a:gradFill>
            </a:ln>
          </c:spPr>
          <c:dLbls>
            <c:dLbl>
              <c:idx val="2"/>
              <c:layout>
                <c:manualLayout>
                  <c:x val="-8.3820167640335282E-4"/>
                  <c:y val="-6.3415502710402402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064419366933973E-2"/>
                  <c:y val="-1.794840343449537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83295838020251E-2"/>
                  <c:y val="-9.4600298078318101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672701685047138E-2"/>
                  <c:y val="-2.6550152611113435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934728868349158E-2"/>
                  <c:y val="-1.874128419608018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754418801781399E-2"/>
                  <c:y val="-1.874128419608007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852868468943046E-2"/>
                  <c:y val="-1.874128419608007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4574108735213833E-2"/>
                  <c:y val="-1.2494312438359014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17105085374263651"/>
                  <c:y val="2.1864831562093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2787597337292134E-2"/>
                  <c:y val="3.7482568392160145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0016589267755337E-2"/>
                  <c:y val="1.874128419608018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 spc="-100" baseline="0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5"/>
                <c:pt idx="0">
                  <c:v>МО "город Екатеринбург"</c:v>
                </c:pt>
                <c:pt idx="1">
                  <c:v>город Нижний Тагил</c:v>
                </c:pt>
                <c:pt idx="2">
                  <c:v>МО город Каменск- Уральский</c:v>
                </c:pt>
                <c:pt idx="3">
                  <c:v>ГО Первоуральск</c:v>
                </c:pt>
                <c:pt idx="4">
                  <c:v>Серовский 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396</c:v>
                </c:pt>
                <c:pt idx="1">
                  <c:v>152</c:v>
                </c:pt>
                <c:pt idx="2">
                  <c:v>137</c:v>
                </c:pt>
                <c:pt idx="3">
                  <c:v>120</c:v>
                </c:pt>
                <c:pt idx="4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pattFill prst="dotDmnd">
          <a:fgClr>
            <a:srgbClr val="7030A0"/>
          </a:fgClr>
          <a:bgClr>
            <a:schemeClr val="bg1"/>
          </a:bgClr>
        </a:pattFill>
        <a:ln cap="rnd">
          <a:gradFill flip="none" rotWithShape="1">
            <a:gsLst>
              <a:gs pos="0">
                <a:srgbClr val="CCCCFF"/>
              </a:gs>
              <a:gs pos="17999">
                <a:srgbClr val="99CCFF"/>
              </a:gs>
              <a:gs pos="36000">
                <a:srgbClr val="9966FF"/>
              </a:gs>
              <a:gs pos="61000">
                <a:srgbClr val="CC99FF"/>
              </a:gs>
              <a:gs pos="82001">
                <a:srgbClr val="99CCFF"/>
              </a:gs>
              <a:gs pos="100000">
                <a:srgbClr val="CCCCFF"/>
              </a:gs>
            </a:gsLst>
            <a:lin ang="5400000" scaled="0"/>
            <a:tileRect r="-100000" b="-10000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4087281282765316E-3"/>
                  <c:y val="-2.887431517584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925902167750521E-3"/>
                  <c:y val="-2.6117941808076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391974975730776E-3"/>
                  <c:y val="-4.6125801788145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265</c:v>
                </c:pt>
                <c:pt idx="1">
                  <c:v>307</c:v>
                </c:pt>
                <c:pt idx="2">
                  <c:v>283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75871826831E-2"/>
                  <c:y val="-3.8097861430422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256462805163137E-2"/>
                  <c:y val="1.1366092607408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214</c:v>
                </c:pt>
                <c:pt idx="1">
                  <c:v>317</c:v>
                </c:pt>
                <c:pt idx="2">
                  <c:v>332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2916992"/>
        <c:axId val="165713536"/>
        <c:axId val="0"/>
      </c:bar3DChart>
      <c:catAx>
        <c:axId val="19291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57135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571353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916992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4679665738161547"/>
          <c:y val="0.4194444444444444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</c:v>
                </c:pt>
              </c:strCache>
            </c:strRef>
          </c:tx>
          <c:spPr>
            <a:ln w="12708" cmpd="sng">
              <a:gradFill>
                <a:gsLst>
                  <a:gs pos="0">
                    <a:srgbClr val="FFF2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</a:gradFill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7030A0"/>
              </a:solidFill>
              <a:ln w="12708" cmpd="sng">
                <a:gradFill>
                  <a:gsLst>
                    <a:gs pos="0">
                      <a:srgbClr val="FFF200"/>
                    </a:gs>
                    <a:gs pos="45000">
                      <a:srgbClr val="FF7A00"/>
                    </a:gs>
                    <a:gs pos="70000">
                      <a:srgbClr val="FF0300"/>
                    </a:gs>
                    <a:gs pos="100000">
                      <a:srgbClr val="4D0808"/>
                    </a:gs>
                  </a:gsLst>
                  <a:lin ang="5400000" scaled="0"/>
                </a:gradFill>
              </a:ln>
            </c:spPr>
          </c:dPt>
          <c:dPt>
            <c:idx val="2"/>
            <c:bubble3D val="0"/>
            <c:spPr>
              <a:ln w="12708" cmpd="sng">
                <a:solidFill>
                  <a:srgbClr val="FF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708" cmpd="sng">
                <a:gradFill>
                  <a:gsLst>
                    <a:gs pos="0">
                      <a:srgbClr val="FFF200"/>
                    </a:gs>
                    <a:gs pos="45000">
                      <a:srgbClr val="FF7A00"/>
                    </a:gs>
                    <a:gs pos="70000">
                      <a:srgbClr val="FF0300"/>
                    </a:gs>
                    <a:gs pos="100000">
                      <a:srgbClr val="4D0808"/>
                    </a:gs>
                  </a:gsLst>
                  <a:lin ang="5400000" scaled="0"/>
                </a:gradFill>
              </a:ln>
            </c:spPr>
          </c:dPt>
          <c:dPt>
            <c:idx val="4"/>
            <c:bubble3D val="0"/>
            <c:spPr>
              <a:solidFill>
                <a:sysClr val="window" lastClr="FFFFFF"/>
              </a:solidFill>
              <a:ln w="12708" cmpd="sng">
                <a:gradFill>
                  <a:gsLst>
                    <a:gs pos="0">
                      <a:srgbClr val="FFF200"/>
                    </a:gs>
                    <a:gs pos="45000">
                      <a:srgbClr val="FF7A00"/>
                    </a:gs>
                    <a:gs pos="70000">
                      <a:srgbClr val="FF0300"/>
                    </a:gs>
                    <a:gs pos="100000">
                      <a:srgbClr val="4D0808"/>
                    </a:gs>
                  </a:gsLst>
                  <a:lin ang="5400000" scaled="0"/>
                </a:gradFill>
              </a:ln>
            </c:spPr>
          </c:dPt>
          <c:dPt>
            <c:idx val="5"/>
            <c:bubble3D val="0"/>
            <c:spPr>
              <a:ln w="12708" cmpd="sng">
                <a:solidFill>
                  <a:srgbClr val="92D050"/>
                </a:solidFill>
              </a:ln>
            </c:spPr>
          </c:dPt>
          <c:dPt>
            <c:idx val="6"/>
            <c:bubble3D val="0"/>
            <c:spPr>
              <a:solidFill>
                <a:sysClr val="windowText" lastClr="000000">
                  <a:lumMod val="95000"/>
                  <a:lumOff val="5000"/>
                </a:sysClr>
              </a:solidFill>
              <a:ln w="12708" cmpd="sng">
                <a:solidFill>
                  <a:sysClr val="windowText" lastClr="000000"/>
                </a:solidFill>
              </a:ln>
            </c:spPr>
          </c:dPt>
          <c:dPt>
            <c:idx val="7"/>
            <c:bubble3D val="0"/>
          </c:dPt>
          <c:dPt>
            <c:idx val="8"/>
            <c:bubble3D val="0"/>
            <c:spPr>
              <a:solidFill>
                <a:sysClr val="window" lastClr="FFFFFF">
                  <a:lumMod val="75000"/>
                </a:sysClr>
              </a:solidFill>
              <a:ln w="12708" cmpd="sng">
                <a:gradFill>
                  <a:gsLst>
                    <a:gs pos="0">
                      <a:srgbClr val="FFF200"/>
                    </a:gs>
                    <a:gs pos="45000">
                      <a:srgbClr val="FF7A00"/>
                    </a:gs>
                    <a:gs pos="70000">
                      <a:srgbClr val="FF0300"/>
                    </a:gs>
                    <a:gs pos="100000">
                      <a:srgbClr val="4D0808"/>
                    </a:gs>
                  </a:gsLst>
                  <a:lin ang="5400000" scaled="0"/>
                </a:gradFill>
              </a:ln>
            </c:spPr>
          </c:dPt>
          <c:dPt>
            <c:idx val="9"/>
            <c:bubble3D val="0"/>
            <c:spPr>
              <a:solidFill>
                <a:srgbClr val="00B050"/>
              </a:solidFill>
              <a:ln w="12708" cmpd="sng">
                <a:solidFill>
                  <a:srgbClr val="00B0F0"/>
                </a:solidFill>
              </a:ln>
            </c:spPr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Lbls>
            <c:dLbl>
              <c:idx val="0"/>
              <c:layout>
                <c:manualLayout>
                  <c:x val="-1.5584094320478312E-2"/>
                  <c:y val="-4.63167387707006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692628439539146E-2"/>
                  <c:y val="0.113083786562762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74007832856839"/>
                  <c:y val="6.521261195443352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951366000842182E-2"/>
                  <c:y val="-9.963268122412534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14802345819848E-2"/>
                  <c:y val="3.5849851246129535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73604459236409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418469437454338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078916372202592E-3"/>
                  <c:y val="5.143885255678085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5339089680927693E-2"/>
                  <c:y val="-5.4046678054845299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1582253631723603"/>
                  <c:y val="-3.987547127854194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9049630721954807E-2"/>
                  <c:y val="-1.5708779342248458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9.6484868305199881E-2"/>
                  <c:y val="-4.13122508794990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0"/>
                <c:pt idx="0">
                  <c:v>Оказание материальной помощи   15%</c:v>
                </c:pt>
                <c:pt idx="1">
                  <c:v>Охрана семьи, материнства, отцовства и детства  10%</c:v>
                </c:pt>
                <c:pt idx="2">
                  <c:v>Опека  10%</c:v>
                </c:pt>
                <c:pt idx="3">
                  <c:v>Усыновление детей  7%</c:v>
                </c:pt>
                <c:pt idx="4">
                  <c:v>Пособия и компенсации на детей 5%</c:v>
                </c:pt>
                <c:pt idx="5">
                  <c:v>Льготы и социальное обеспечение 4%</c:v>
                </c:pt>
                <c:pt idx="6">
                  <c:v>Присвоение звания "Ветеран труда"  4%</c:v>
                </c:pt>
                <c:pt idx="7">
                  <c:v>Социальная защита инвалидов 4%</c:v>
                </c:pt>
                <c:pt idx="8">
                  <c:v>Реализация программы "Доступная среда" 4%</c:v>
                </c:pt>
                <c:pt idx="9">
                  <c:v>Государственные интернаты 3%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20</c:v>
                </c:pt>
                <c:pt idx="1">
                  <c:v>15</c:v>
                </c:pt>
                <c:pt idx="2">
                  <c:v>15</c:v>
                </c:pt>
                <c:pt idx="3">
                  <c:v>10</c:v>
                </c:pt>
                <c:pt idx="4">
                  <c:v>8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7">
          <a:noFill/>
        </a:ln>
      </c:spPr>
    </c:plotArea>
    <c:plotVisOnly val="1"/>
    <c:dispBlanksAs val="gap"/>
    <c:showDLblsOverMax val="0"/>
  </c:chart>
  <c:spPr>
    <a:solidFill>
      <a:srgbClr val="92D050"/>
    </a:solidFill>
    <a:ln w="54011">
      <a:gradFill>
        <a:gsLst>
          <a:gs pos="0">
            <a:srgbClr val="FF3399"/>
          </a:gs>
          <a:gs pos="25000">
            <a:srgbClr val="FF6633"/>
          </a:gs>
          <a:gs pos="50000">
            <a:srgbClr val="FFFF00"/>
          </a:gs>
          <a:gs pos="75000">
            <a:srgbClr val="01A78F"/>
          </a:gs>
          <a:gs pos="100000">
            <a:srgbClr val="3366FF"/>
          </a:gs>
        </a:gsLst>
        <a:lin ang="5400000" scaled="0"/>
      </a:gra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2558-3747-4F8E-9FD2-792EC8FB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Вершинина Камилла Игоревна</cp:lastModifiedBy>
  <cp:revision>2</cp:revision>
  <cp:lastPrinted>2015-05-07T11:46:00Z</cp:lastPrinted>
  <dcterms:created xsi:type="dcterms:W3CDTF">2015-11-05T12:05:00Z</dcterms:created>
  <dcterms:modified xsi:type="dcterms:W3CDTF">2015-11-05T12:05:00Z</dcterms:modified>
</cp:coreProperties>
</file>