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6B7C" w:rsidRPr="00726B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726B7C" w:rsidRPr="00726B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26B7C">
        <w:rPr>
          <w:rFonts w:ascii="Times New Roman" w:hAnsi="Times New Roman" w:cs="Times New Roman"/>
          <w:sz w:val="28"/>
          <w:szCs w:val="28"/>
        </w:rPr>
        <w:t>1139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16D5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26B7C">
        <w:rPr>
          <w:rFonts w:ascii="Times New Roman" w:hAnsi="Times New Roman" w:cs="Times New Roman"/>
          <w:sz w:val="28"/>
          <w:szCs w:val="28"/>
        </w:rPr>
        <w:t>12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1916D5">
        <w:rPr>
          <w:rFonts w:ascii="Times New Roman" w:hAnsi="Times New Roman" w:cs="Times New Roman"/>
          <w:sz w:val="28"/>
          <w:szCs w:val="28"/>
        </w:rPr>
        <w:t>меньше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16D5">
        <w:rPr>
          <w:rFonts w:ascii="Times New Roman" w:hAnsi="Times New Roman" w:cs="Times New Roman"/>
          <w:sz w:val="28"/>
          <w:szCs w:val="28"/>
        </w:rPr>
        <w:t>1</w:t>
      </w:r>
      <w:r w:rsidR="00726B7C">
        <w:rPr>
          <w:rFonts w:ascii="Times New Roman" w:hAnsi="Times New Roman" w:cs="Times New Roman"/>
          <w:sz w:val="28"/>
          <w:szCs w:val="28"/>
        </w:rPr>
        <w:t>139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726B7C">
        <w:rPr>
          <w:rFonts w:ascii="Times New Roman" w:hAnsi="Times New Roman" w:cs="Times New Roman"/>
          <w:sz w:val="28"/>
          <w:szCs w:val="28"/>
        </w:rPr>
        <w:t>188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726B7C">
        <w:rPr>
          <w:rFonts w:ascii="Times New Roman" w:hAnsi="Times New Roman" w:cs="Times New Roman"/>
          <w:sz w:val="28"/>
          <w:szCs w:val="28"/>
        </w:rPr>
        <w:t>40</w:t>
      </w:r>
      <w:r w:rsidR="001916D5">
        <w:rPr>
          <w:rFonts w:ascii="Times New Roman" w:hAnsi="Times New Roman" w:cs="Times New Roman"/>
          <w:sz w:val="28"/>
          <w:szCs w:val="28"/>
        </w:rPr>
        <w:t>8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726B7C">
        <w:rPr>
          <w:rFonts w:ascii="Times New Roman" w:hAnsi="Times New Roman" w:cs="Times New Roman"/>
          <w:sz w:val="28"/>
          <w:szCs w:val="28"/>
        </w:rPr>
        <w:t>5</w:t>
      </w:r>
      <w:r w:rsidR="001916D5">
        <w:rPr>
          <w:rFonts w:ascii="Times New Roman" w:hAnsi="Times New Roman" w:cs="Times New Roman"/>
          <w:sz w:val="28"/>
          <w:szCs w:val="28"/>
        </w:rPr>
        <w:t>4</w:t>
      </w:r>
      <w:r w:rsidR="00726B7C">
        <w:rPr>
          <w:rFonts w:ascii="Times New Roman" w:hAnsi="Times New Roman" w:cs="Times New Roman"/>
          <w:sz w:val="28"/>
          <w:szCs w:val="28"/>
        </w:rPr>
        <w:t>3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1916D5">
        <w:rPr>
          <w:rFonts w:ascii="Times New Roman" w:hAnsi="Times New Roman" w:cs="Times New Roman"/>
          <w:sz w:val="28"/>
          <w:szCs w:val="28"/>
        </w:rPr>
        <w:t>меньшение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1916D5">
        <w:rPr>
          <w:rFonts w:ascii="Times New Roman" w:hAnsi="Times New Roman" w:cs="Times New Roman"/>
          <w:sz w:val="28"/>
          <w:szCs w:val="28"/>
        </w:rPr>
        <w:t>1</w:t>
      </w:r>
      <w:r w:rsidR="00726B7C">
        <w:rPr>
          <w:rFonts w:ascii="Times New Roman" w:hAnsi="Times New Roman" w:cs="Times New Roman"/>
          <w:sz w:val="28"/>
          <w:szCs w:val="28"/>
        </w:rPr>
        <w:t>5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726B7C" w:rsidRPr="00726B7C">
        <w:rPr>
          <w:rFonts w:ascii="Times New Roman" w:hAnsi="Times New Roman" w:cs="Times New Roman"/>
          <w:sz w:val="28"/>
          <w:szCs w:val="28"/>
        </w:rPr>
        <w:t>III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 </w:t>
      </w:r>
      <w:r w:rsidR="00726B7C" w:rsidRPr="00726B7C">
        <w:rPr>
          <w:rFonts w:ascii="Times New Roman" w:hAnsi="Times New Roman" w:cs="Times New Roman"/>
          <w:sz w:val="28"/>
          <w:szCs w:val="28"/>
        </w:rPr>
        <w:t>III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916D5">
        <w:rPr>
          <w:rFonts w:ascii="Times New Roman" w:hAnsi="Times New Roman" w:cs="Times New Roman"/>
          <w:sz w:val="28"/>
          <w:szCs w:val="28"/>
        </w:rPr>
        <w:t>7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726B7C" w:rsidRPr="0072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Западного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6B7C" w:rsidRPr="0072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="00726B7C" w:rsidRPr="00726B7C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916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916D5">
        <w:rPr>
          <w:rFonts w:ascii="Times New Roman" w:hAnsi="Times New Roman" w:cs="Times New Roman"/>
          <w:sz w:val="28"/>
          <w:szCs w:val="28"/>
        </w:rPr>
        <w:t>6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726B7C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26B7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III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726B7C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26B7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III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916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Default="00726B7C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134" w:type="dxa"/>
          </w:tcPr>
          <w:p w:rsidR="00B8270A" w:rsidRDefault="005C5822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726B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6,4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37C0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992" w:type="dxa"/>
          </w:tcPr>
          <w:p w:rsidR="00B8270A" w:rsidRDefault="001916D5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44,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B8270A" w:rsidRPr="00DD0998" w:rsidRDefault="00F65CDD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726B7C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</w:tcPr>
          <w:p w:rsidR="00B8270A" w:rsidRDefault="00726B7C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37C0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2" w:type="dxa"/>
          </w:tcPr>
          <w:p w:rsidR="00B8270A" w:rsidRDefault="004A6335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37C00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276" w:type="dxa"/>
          </w:tcPr>
          <w:p w:rsidR="00B8270A" w:rsidRPr="00DD0998" w:rsidRDefault="00DD0998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</w:t>
            </w:r>
            <w:r w:rsidR="00B52766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726B7C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34" w:type="dxa"/>
          </w:tcPr>
          <w:p w:rsidR="00B8270A" w:rsidRDefault="001916D5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726B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726B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B8270A" w:rsidRDefault="00B8270A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276" w:type="dxa"/>
          </w:tcPr>
          <w:p w:rsidR="00B8270A" w:rsidRPr="00DD0998" w:rsidRDefault="00DD0998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1,1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726B7C" w:rsidP="0019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4" w:type="dxa"/>
          </w:tcPr>
          <w:p w:rsidR="00B8270A" w:rsidRDefault="001916D5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726B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726B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B8270A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B8270A" w:rsidRPr="00DD0998" w:rsidRDefault="00DD0998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726B7C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B8270A" w:rsidRDefault="00726B7C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37C0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</w:tcPr>
          <w:p w:rsidR="00B8270A" w:rsidRDefault="00137C00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8,6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137C00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276" w:type="dxa"/>
          </w:tcPr>
          <w:p w:rsidR="00B8270A" w:rsidRPr="00DD0998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-21</w:t>
            </w:r>
            <w:r w:rsidR="00DD0998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726B7C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B8270A" w:rsidRDefault="00726B7C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37C0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</w:tcPr>
          <w:p w:rsidR="00B8270A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DD0998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B8270A" w:rsidRPr="00DD0998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-15</w:t>
            </w:r>
            <w:r w:rsidR="00DD0998"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726B7C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B8270A" w:rsidRDefault="00726B7C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1916D5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</w:tcPr>
          <w:p w:rsidR="00B8270A" w:rsidRDefault="00137C00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B8270A" w:rsidRPr="00DD0998" w:rsidRDefault="00F65CDD" w:rsidP="00DD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38,4</w:t>
            </w:r>
          </w:p>
        </w:tc>
      </w:tr>
      <w:tr w:rsidR="00B8270A" w:rsidTr="00110F6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4A4329" w:rsidRDefault="001916D5" w:rsidP="0072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="00726B7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4A4329" w:rsidRDefault="00104CB4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="00137C0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8270A" w:rsidRPr="004A4329" w:rsidRDefault="00DD0998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-1</w:t>
            </w:r>
            <w:r w:rsidR="00137C0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B8270A" w:rsidRPr="00DD0998" w:rsidRDefault="00110F67" w:rsidP="0013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highlight w:val="yellow"/>
                <w:lang w:eastAsia="ru-RU"/>
              </w:rPr>
            </w:pP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  <w:r w:rsidR="00137C0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</w:t>
            </w: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 w:rsidR="00137C0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7</w:t>
            </w:r>
            <w:r w:rsidR="00B52766"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обращений граждан, поступивших в </w:t>
      </w:r>
      <w:r w:rsidR="00137C00" w:rsidRPr="00137C00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092094" w:rsidRDefault="00534936" w:rsidP="00137BBD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110F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="006F63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Красноуфимск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="00092094" w:rsidRPr="00137BBD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городской</w:t>
      </w:r>
      <w:r w:rsidR="00092094" w:rsidRPr="00137C00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0920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округ</w:t>
      </w:r>
      <w:r w:rsidR="006F63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Верхняя Пышма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623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F63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Березовский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37BBD" w:rsidRDefault="00137BBD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Pr="00534936" w:rsidRDefault="00137BBD" w:rsidP="0013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755FFB5" wp14:editId="293F90FB">
            <wp:extent cx="5534025" cy="34575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BBD" w:rsidRDefault="00137BBD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="00137BBD" w:rsidRPr="00137BBD">
        <w:rPr>
          <w:bCs/>
          <w:color w:val="000000"/>
          <w:sz w:val="28"/>
          <w:szCs w:val="28"/>
          <w:lang w:val="en-US"/>
        </w:rPr>
        <w:t>III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F6236D">
        <w:rPr>
          <w:bCs/>
          <w:color w:val="000000"/>
          <w:sz w:val="28"/>
          <w:szCs w:val="28"/>
        </w:rPr>
        <w:t>7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="00D500E1" w:rsidRPr="00D5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137BBD" w:rsidRDefault="00137BBD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</w:t>
      </w:r>
      <w:r w:rsidR="00CA02A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AD2410" w:rsidRDefault="00AD2410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4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внесением изменений в </w:t>
      </w:r>
      <w:r w:rsidR="00E16A2C" w:rsidRPr="00E16A2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части предоставления социальных гарантий отдельным категориям граждан и расширен</w:t>
      </w:r>
      <w:r w:rsidR="00E16A2C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 w:rsidR="00E16A2C" w:rsidRPr="00E16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</w:t>
      </w:r>
      <w:r w:rsidR="00E16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получателей </w:t>
      </w:r>
      <w:r w:rsidR="002F4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стали поступать обращения </w:t>
      </w:r>
      <w:r w:rsidR="00D742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</w:t>
      </w:r>
      <w:r w:rsid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праве на</w:t>
      </w:r>
      <w:r w:rsidR="00FD1E12" w:rsidRPr="00FD1E12">
        <w:t xml:space="preserve">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37DB" w:rsidRP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частичн</w:t>
      </w:r>
      <w:r w:rsid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B937DB" w:rsidRP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компенсаци</w:t>
      </w:r>
      <w:r w:rsid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B937DB" w:rsidRP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затрат на подключение (технологическое присоединение) жилых помещений к газовым сетям</w:t>
      </w:r>
      <w:r w:rsidR="00FD1E12" w:rsidRP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364B" w:rsidRPr="009C7BA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</w:t>
      </w:r>
      <w:r w:rsidR="00B937DB">
        <w:rPr>
          <w:rFonts w:ascii="Times New Roman" w:eastAsia="Times New Roman" w:hAnsi="Times New Roman" w:cs="Times New Roman"/>
          <w:sz w:val="28"/>
          <w:szCs w:val="20"/>
          <w:lang w:eastAsia="ru-RU"/>
        </w:rPr>
        <w:t>ют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 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вопросам реализации и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разъяснения основных положений 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Свердловской области от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 32-ОЗ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компенсации расходов на уплату взноса на</w:t>
      </w:r>
      <w:r w:rsidR="00FD1E1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капитальный ремонт общего имущества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многоквартирном доме»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другие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364B" w:rsidRPr="0087530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A585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84364B" w:rsidRPr="00454B45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454B45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CA02AE" w:rsidRPr="00454B45">
        <w:rPr>
          <w:color w:val="000000" w:themeColor="text1"/>
        </w:rPr>
        <w:t xml:space="preserve"> </w:t>
      </w:r>
      <w:r w:rsidR="00D500E1"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III</w:t>
      </w:r>
      <w:r w:rsidR="00CA02AE"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</w:t>
      </w: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CA02AE"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454B45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454B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84364B" w:rsidRPr="00D32E1C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454B45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454B45" w:rsidP="00454B45">
            <w:pPr>
              <w:rPr>
                <w:rFonts w:ascii="Times New Roman" w:hAnsi="Times New Roman"/>
                <w:sz w:val="28"/>
                <w:szCs w:val="28"/>
              </w:rPr>
            </w:pPr>
            <w:r w:rsidRPr="00454B45">
              <w:rPr>
                <w:rFonts w:ascii="Times New Roman" w:hAnsi="Times New Roman"/>
                <w:sz w:val="28"/>
                <w:szCs w:val="28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454B45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8B6C88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D32E1C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9C7BA0" w:rsidRDefault="00454B45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454B45">
              <w:rPr>
                <w:rFonts w:ascii="Times New Roman" w:hAnsi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Default="00454B45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454B45" w:rsidP="00454B45">
            <w:pPr>
              <w:rPr>
                <w:rFonts w:ascii="Times New Roman" w:hAnsi="Times New Roman"/>
                <w:sz w:val="28"/>
                <w:szCs w:val="28"/>
              </w:rPr>
            </w:pPr>
            <w:r w:rsidRPr="00454B45">
              <w:rPr>
                <w:rFonts w:ascii="Times New Roman" w:hAnsi="Times New Roman"/>
                <w:sz w:val="28"/>
                <w:szCs w:val="28"/>
              </w:rPr>
              <w:t xml:space="preserve">Социальное обслуживание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CA02AE" w:rsidP="00454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4B4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454B45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454B45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454B45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EA14D2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454B45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D32E1C" w:rsidRDefault="00CA02AE" w:rsidP="00CA02AE">
            <w:pPr>
              <w:rPr>
                <w:rFonts w:ascii="Times New Roman" w:hAnsi="Times New Roman"/>
                <w:sz w:val="28"/>
                <w:szCs w:val="28"/>
              </w:rPr>
            </w:pPr>
            <w:r w:rsidRPr="00CA02AE">
              <w:rPr>
                <w:rFonts w:ascii="Times New Roman" w:hAnsi="Times New Roman"/>
                <w:sz w:val="28"/>
                <w:szCs w:val="28"/>
              </w:rPr>
              <w:t xml:space="preserve">Охрана семьи, материнства, отцовства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454B45" w:rsidP="00CA0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4364B" w:rsidRPr="00D32E1C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D32E1C" w:rsidRDefault="00454B45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324</w:t>
            </w:r>
          </w:p>
        </w:tc>
      </w:tr>
    </w:tbl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выявил группы заявителей, которые наиболее часто обращались в Министерство 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54B45" w:rsidRPr="00454B45">
        <w:rPr>
          <w:rFonts w:ascii="Times New Roman" w:eastAsia="Times New Roman" w:hAnsi="Times New Roman" w:cs="Times New Roman"/>
          <w:sz w:val="28"/>
          <w:szCs w:val="20"/>
          <w:lang w:eastAsia="ru-RU"/>
        </w:rPr>
        <w:t>III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2017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EC65D6" w:rsidRDefault="00582ED2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6BDBDD4" wp14:editId="6828611A">
            <wp:simplePos x="0" y="0"/>
            <wp:positionH relativeFrom="column">
              <wp:posOffset>-24765</wp:posOffset>
            </wp:positionH>
            <wp:positionV relativeFrom="paragraph">
              <wp:posOffset>71120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в </w:t>
      </w:r>
      <w:r w:rsidR="00454B45" w:rsidRPr="00454B45">
        <w:rPr>
          <w:rFonts w:eastAsia="+mn-ea"/>
          <w:bCs/>
          <w:color w:val="000000"/>
          <w:kern w:val="24"/>
          <w:sz w:val="28"/>
          <w:szCs w:val="28"/>
          <w:lang w:val="en-US"/>
        </w:rPr>
        <w:t>III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E72760">
        <w:rPr>
          <w:rFonts w:eastAsia="+mn-ea"/>
          <w:bCs/>
          <w:color w:val="000000"/>
          <w:kern w:val="24"/>
          <w:sz w:val="28"/>
          <w:szCs w:val="28"/>
        </w:rPr>
        <w:t>7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3D7288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Default="00226687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E72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Злоказовым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– Руководител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Свердловской области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0BF3" w:rsidRP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Тунгусов</w:t>
      </w:r>
      <w:r w:rsidR="00360B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Правительстве Свердловской области по адресу: г.</w:t>
      </w:r>
      <w:r w:rsidR="00360BF3">
        <w:rPr>
          <w:lang w:val="en-US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</w:t>
      </w:r>
      <w:r w:rsid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 Люксембург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удобства граждан предусмотрена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предварительная запись на прием.</w:t>
      </w:r>
    </w:p>
    <w:p w:rsidR="00D351E5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351E5" w:rsidRDefault="00D351E5" w:rsidP="00D351E5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DF70D3" w:rsidRPr="00DF70D3">
        <w:rPr>
          <w:sz w:val="28"/>
          <w:szCs w:val="28"/>
        </w:rPr>
        <w:t>III</w:t>
      </w:r>
      <w:r>
        <w:rPr>
          <w:sz w:val="28"/>
          <w:szCs w:val="28"/>
          <w:lang w:val="en-US"/>
        </w:rPr>
        <w:t> </w:t>
      </w:r>
      <w:r w:rsidRPr="00D351E5">
        <w:rPr>
          <w:sz w:val="28"/>
          <w:szCs w:val="28"/>
        </w:rPr>
        <w:t xml:space="preserve">квартале 2017 года </w:t>
      </w:r>
      <w:r w:rsidRPr="00C62648">
        <w:rPr>
          <w:sz w:val="28"/>
          <w:szCs w:val="28"/>
        </w:rPr>
        <w:t xml:space="preserve">проведено </w:t>
      </w:r>
      <w:r w:rsidR="0098341E">
        <w:rPr>
          <w:color w:val="000000" w:themeColor="text1"/>
          <w:sz w:val="28"/>
          <w:szCs w:val="28"/>
        </w:rPr>
        <w:t>30</w:t>
      </w:r>
      <w:r w:rsidRPr="00DF70D3"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1D6C44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было принято </w:t>
      </w:r>
      <w:r w:rsidR="0098341E">
        <w:rPr>
          <w:color w:val="000000" w:themeColor="text1"/>
          <w:sz w:val="28"/>
          <w:szCs w:val="28"/>
        </w:rPr>
        <w:t>77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351E5" w:rsidRPr="0022668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351E5" w:rsidRPr="00226687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B20" w:rsidRPr="00375B20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bookmarkStart w:id="0" w:name="_GoBack"/>
      <w:bookmarkEnd w:id="0"/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69E" w:rsidRP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</w:t>
      </w:r>
      <w:r w:rsid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70D3" w:rsidRPr="008178B7" w:rsidRDefault="00DF70D3" w:rsidP="00D351E5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 (37);</w:t>
      </w:r>
    </w:p>
    <w:p w:rsidR="00D351E5" w:rsidRDefault="00D351E5" w:rsidP="00D351E5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0D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06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51E5" w:rsidRDefault="00D351E5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DF70D3" w:rsidRPr="00FA47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http://msp.midural.ru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0D3" w:rsidRDefault="00DF70D3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D3" w:rsidRDefault="00DF70D3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D3" w:rsidRDefault="00DF70D3" w:rsidP="00D3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F70D3" w:rsidRPr="00803BE1" w:rsidRDefault="00DF70D3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4"/>
      <w:head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36" w:rsidRDefault="00450E36" w:rsidP="00154BF2">
      <w:pPr>
        <w:spacing w:after="0" w:line="240" w:lineRule="auto"/>
      </w:pPr>
      <w:r>
        <w:separator/>
      </w:r>
    </w:p>
  </w:endnote>
  <w:endnote w:type="continuationSeparator" w:id="0">
    <w:p w:rsidR="00450E36" w:rsidRDefault="00450E36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36" w:rsidRDefault="00450E36" w:rsidP="00154BF2">
      <w:pPr>
        <w:spacing w:after="0" w:line="240" w:lineRule="auto"/>
      </w:pPr>
      <w:r>
        <w:separator/>
      </w:r>
    </w:p>
  </w:footnote>
  <w:footnote w:type="continuationSeparator" w:id="0">
    <w:p w:rsidR="00450E36" w:rsidRDefault="00450E36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20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3493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101C73"/>
    <w:rsid w:val="00104CB4"/>
    <w:rsid w:val="00110F67"/>
    <w:rsid w:val="00137BBD"/>
    <w:rsid w:val="00137C00"/>
    <w:rsid w:val="00140E29"/>
    <w:rsid w:val="00144E52"/>
    <w:rsid w:val="00146071"/>
    <w:rsid w:val="00146C9E"/>
    <w:rsid w:val="00152C50"/>
    <w:rsid w:val="00154BF2"/>
    <w:rsid w:val="00173EDD"/>
    <w:rsid w:val="001824C8"/>
    <w:rsid w:val="001916D5"/>
    <w:rsid w:val="001A2B3A"/>
    <w:rsid w:val="001A69DD"/>
    <w:rsid w:val="001A7EB6"/>
    <w:rsid w:val="001C75B2"/>
    <w:rsid w:val="001D2CD2"/>
    <w:rsid w:val="001D6C44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4654"/>
    <w:rsid w:val="002F57A6"/>
    <w:rsid w:val="002F6B78"/>
    <w:rsid w:val="00316F76"/>
    <w:rsid w:val="00320C7A"/>
    <w:rsid w:val="003364F6"/>
    <w:rsid w:val="00341285"/>
    <w:rsid w:val="00352865"/>
    <w:rsid w:val="00352ACC"/>
    <w:rsid w:val="00356070"/>
    <w:rsid w:val="00360BF3"/>
    <w:rsid w:val="0036559E"/>
    <w:rsid w:val="00375B20"/>
    <w:rsid w:val="00383276"/>
    <w:rsid w:val="00385994"/>
    <w:rsid w:val="003A585B"/>
    <w:rsid w:val="003A5AB7"/>
    <w:rsid w:val="003B0EF4"/>
    <w:rsid w:val="003C7E26"/>
    <w:rsid w:val="003D040E"/>
    <w:rsid w:val="003D3155"/>
    <w:rsid w:val="003D7288"/>
    <w:rsid w:val="00404A6F"/>
    <w:rsid w:val="004100EF"/>
    <w:rsid w:val="00450E36"/>
    <w:rsid w:val="00452D29"/>
    <w:rsid w:val="00454B45"/>
    <w:rsid w:val="00455E33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69"/>
    <w:rsid w:val="004E0103"/>
    <w:rsid w:val="004E2AA8"/>
    <w:rsid w:val="004F623B"/>
    <w:rsid w:val="00501BE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B3622"/>
    <w:rsid w:val="006D64CA"/>
    <w:rsid w:val="006F631B"/>
    <w:rsid w:val="007020D9"/>
    <w:rsid w:val="00704EAB"/>
    <w:rsid w:val="0071284A"/>
    <w:rsid w:val="0072523B"/>
    <w:rsid w:val="00726B7C"/>
    <w:rsid w:val="00734A57"/>
    <w:rsid w:val="00753367"/>
    <w:rsid w:val="007813E6"/>
    <w:rsid w:val="00783422"/>
    <w:rsid w:val="007A30C6"/>
    <w:rsid w:val="007A3925"/>
    <w:rsid w:val="007A3CE9"/>
    <w:rsid w:val="007B2667"/>
    <w:rsid w:val="007D1DFA"/>
    <w:rsid w:val="007D64EF"/>
    <w:rsid w:val="007E0D96"/>
    <w:rsid w:val="008015A1"/>
    <w:rsid w:val="00803BE1"/>
    <w:rsid w:val="00807EAD"/>
    <w:rsid w:val="00817AD2"/>
    <w:rsid w:val="0082132B"/>
    <w:rsid w:val="00842E0E"/>
    <w:rsid w:val="0084364B"/>
    <w:rsid w:val="00844D1B"/>
    <w:rsid w:val="00851312"/>
    <w:rsid w:val="00854720"/>
    <w:rsid w:val="00873B1B"/>
    <w:rsid w:val="00875300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2FF9"/>
    <w:rsid w:val="0098341E"/>
    <w:rsid w:val="00986965"/>
    <w:rsid w:val="00990CDD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219B"/>
    <w:rsid w:val="00AC4F04"/>
    <w:rsid w:val="00AD2410"/>
    <w:rsid w:val="00AD36EB"/>
    <w:rsid w:val="00AD79FA"/>
    <w:rsid w:val="00B15E26"/>
    <w:rsid w:val="00B2069E"/>
    <w:rsid w:val="00B213F1"/>
    <w:rsid w:val="00B34B9E"/>
    <w:rsid w:val="00B4093D"/>
    <w:rsid w:val="00B52766"/>
    <w:rsid w:val="00B776D4"/>
    <w:rsid w:val="00B8270A"/>
    <w:rsid w:val="00B904B4"/>
    <w:rsid w:val="00B937DB"/>
    <w:rsid w:val="00BC67AE"/>
    <w:rsid w:val="00BD7E9B"/>
    <w:rsid w:val="00C060D5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0E1"/>
    <w:rsid w:val="00D509EB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F6B34"/>
    <w:rsid w:val="00DF70D3"/>
    <w:rsid w:val="00E07B2E"/>
    <w:rsid w:val="00E16A2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36D"/>
    <w:rsid w:val="00F62AA2"/>
    <w:rsid w:val="00F65CDD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1E12"/>
    <w:rsid w:val="00FD28F1"/>
    <w:rsid w:val="00FD31A7"/>
    <w:rsid w:val="00FD5ACF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msp.midura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2017 года</c:v>
                </c:pt>
                <c:pt idx="1">
                  <c:v>III квартал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</c:v>
                </c:pt>
                <c:pt idx="1">
                  <c:v>638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III квартал 2017 года</c:v>
                </c:pt>
                <c:pt idx="1">
                  <c:v>III квартал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1139</c:v>
                </c:pt>
                <c:pt idx="1">
                  <c:v>1290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757344"/>
        <c:axId val="198201928"/>
      </c:barChart>
      <c:catAx>
        <c:axId val="317757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8201928"/>
        <c:crosses val="autoZero"/>
        <c:auto val="1"/>
        <c:lblAlgn val="ctr"/>
        <c:lblOffset val="100"/>
        <c:noMultiLvlLbl val="0"/>
      </c:catAx>
      <c:valAx>
        <c:axId val="198201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757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180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</c:v>
                </c:pt>
                <c:pt idx="1">
                  <c:v>214</c:v>
                </c:pt>
                <c:pt idx="2">
                  <c:v>180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203104"/>
        <c:axId val="198203496"/>
      </c:lineChart>
      <c:catAx>
        <c:axId val="19820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03496"/>
        <c:crosses val="autoZero"/>
        <c:auto val="1"/>
        <c:lblAlgn val="ctr"/>
        <c:lblOffset val="100"/>
        <c:noMultiLvlLbl val="0"/>
      </c:catAx>
      <c:valAx>
        <c:axId val="19820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0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470</c:v>
                </c:pt>
                <c:pt idx="1">
                  <c:v>503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105</c:v>
                </c:pt>
                <c:pt idx="1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157</c:v>
                </c:pt>
                <c:pt idx="1">
                  <c:v>107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125</c:v>
                </c:pt>
                <c:pt idx="1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162</c:v>
                </c:pt>
                <c:pt idx="1">
                  <c:v>144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146</c:v>
                </c:pt>
                <c:pt idx="1">
                  <c:v>121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2016 году</c:v>
                </c:pt>
                <c:pt idx="1">
                  <c:v>в 2017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125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734696"/>
        <c:axId val="392735088"/>
      </c:barChart>
      <c:catAx>
        <c:axId val="392734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735088"/>
        <c:crosses val="autoZero"/>
        <c:auto val="1"/>
        <c:lblAlgn val="ctr"/>
        <c:lblOffset val="100"/>
        <c:noMultiLvlLbl val="0"/>
      </c:catAx>
      <c:valAx>
        <c:axId val="39273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392734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4050198592432583"/>
                  <c:y val="1.3261195111347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33301325139236E-2"/>
                  <c:y val="5.31291921843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1881228261101507E-2"/>
                  <c:y val="2.087372411781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городской округ Красноуфимск</c:v>
                </c:pt>
                <c:pt idx="4">
                  <c:v>город Каменск-Уральский</c:v>
                </c:pt>
                <c:pt idx="5">
                  <c:v>городской округ Верхняя Пышма</c:v>
                </c:pt>
                <c:pt idx="6">
                  <c:v>Березовский городской округ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503</c:v>
                </c:pt>
                <c:pt idx="1">
                  <c:v>50</c:v>
                </c:pt>
                <c:pt idx="2">
                  <c:v>32</c:v>
                </c:pt>
                <c:pt idx="3">
                  <c:v>21</c:v>
                </c:pt>
                <c:pt idx="4">
                  <c:v>19</c:v>
                </c:pt>
                <c:pt idx="5">
                  <c:v>19</c:v>
                </c:pt>
                <c:pt idx="6">
                  <c:v>18</c:v>
                </c:pt>
                <c:pt idx="7">
                  <c:v>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1795454502E-3"/>
                  <c:y val="-2.8874411798269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66922933845868E-2"/>
                  <c:y val="-1.333011122970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397</c:v>
                </c:pt>
                <c:pt idx="1">
                  <c:v>453</c:v>
                </c:pt>
                <c:pt idx="2">
                  <c:v>440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330</c:v>
                </c:pt>
                <c:pt idx="1">
                  <c:v>413</c:v>
                </c:pt>
                <c:pt idx="2">
                  <c:v>396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2736264"/>
        <c:axId val="345399328"/>
        <c:axId val="0"/>
      </c:bar3DChart>
      <c:catAx>
        <c:axId val="392736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453993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539932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273626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400112"/>
        <c:axId val="345400504"/>
        <c:axId val="0"/>
      </c:bar3DChart>
      <c:catAx>
        <c:axId val="345400112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5400504"/>
        <c:crosses val="autoZero"/>
        <c:auto val="1"/>
        <c:lblAlgn val="ctr"/>
        <c:lblOffset val="100"/>
        <c:noMultiLvlLbl val="0"/>
      </c:catAx>
      <c:valAx>
        <c:axId val="345400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40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5038-CB17-4BDE-909F-4DC03E1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8362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Качусова Светлана Александровна</cp:lastModifiedBy>
  <cp:revision>2</cp:revision>
  <cp:lastPrinted>2017-10-03T12:06:00Z</cp:lastPrinted>
  <dcterms:created xsi:type="dcterms:W3CDTF">2018-04-04T04:48:00Z</dcterms:created>
  <dcterms:modified xsi:type="dcterms:W3CDTF">2018-04-04T04:48:00Z</dcterms:modified>
</cp:coreProperties>
</file>