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71D445" Type="http://schemas.openxmlformats.org/officeDocument/2006/relationships/officeDocument" Target="/word/document.xml" /><Relationship Id="coreR4371D445" Type="http://schemas.openxmlformats.org/package/2006/relationships/metadata/core-properties" Target="/docProps/core.xml" /><Relationship Id="customR4371D4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84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45"/>
        </w:trPr>
        <w:tc>
          <w:tcPr>
            <w:tcW w:w="5490" w:type="dxa"/>
            <w:gridSpan w:val="5"/>
          </w:tcPr>
          <w:p>
            <w:pPr>
              <w:rPr>
                <w:rStyle w:val="C3"/>
              </w:rPr>
            </w:pPr>
          </w:p>
        </w:tc>
        <w:tc>
          <w:tcPr>
            <w:tcW w:w="4485" w:type="dxa"/>
            <w:gridSpan w:val="6"/>
            <w:shd w:val="clear" w:color="auto" w:fill="auto"/>
            <w:vAlign w:val="top"/>
          </w:tcPr>
          <w:p>
            <w:pPr>
              <w:pStyle w:val="P1"/>
              <w:rPr>
                <w:rStyle w:val="C4"/>
                <w:rtl w:val="0"/>
              </w:rPr>
            </w:pPr>
            <w:r>
              <w:rPr>
                <w:rStyle w:val="C4"/>
                <w:rtl w:val="0"/>
              </w:rPr>
              <w:t>ГОСУДАРСТВЕННОЕ ЗАДАНИЕ</w:t>
            </w:r>
          </w:p>
        </w:tc>
        <w:tc>
          <w:tcPr>
            <w:tcW w:w="5295" w:type="dxa"/>
            <w:gridSpan w:val="8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30"/>
        </w:trPr>
        <w:tc>
          <w:tcPr>
            <w:tcW w:w="3945" w:type="dxa"/>
            <w:gridSpan w:val="3"/>
          </w:tcPr>
          <w:p>
            <w:pPr>
              <w:rPr>
                <w:rStyle w:val="C3"/>
              </w:rPr>
            </w:pPr>
          </w:p>
        </w:tc>
        <w:tc>
          <w:tcPr>
            <w:tcW w:w="7560" w:type="dxa"/>
            <w:gridSpan w:val="9"/>
            <w:shd w:val="clear" w:color="auto" w:fill="auto"/>
            <w:vAlign w:val="top"/>
          </w:tcPr>
          <w:p>
            <w:pPr>
              <w:pStyle w:val="P2"/>
              <w:rPr>
                <w:rStyle w:val="C5"/>
                <w:rtl w:val="0"/>
              </w:rPr>
            </w:pPr>
            <w:r>
              <w:rPr>
                <w:rStyle w:val="C5"/>
                <w:rtl w:val="0"/>
              </w:rPr>
              <w:t>на 2022 - 2024 годы</w:t>
            </w:r>
          </w:p>
        </w:tc>
        <w:tc>
          <w:tcPr>
            <w:tcW w:w="3765" w:type="dxa"/>
            <w:gridSpan w:val="7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42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30"/>
        </w:trPr>
        <w:tc>
          <w:tcPr>
            <w:tcW w:w="15255" w:type="dxa"/>
            <w:gridSpan w:val="18"/>
            <w:shd w:val="clear" w:color="auto" w:fill="auto"/>
            <w:vAlign w:val="top"/>
          </w:tcPr>
          <w:p>
            <w:pPr>
              <w:pStyle w:val="P3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Наименование государственного учреждения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570"/>
        </w:trPr>
        <w:tc>
          <w:tcPr>
            <w:tcW w:w="15255" w:type="dxa"/>
            <w:gridSpan w:val="18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Березовского»</w:t>
            </w:r>
          </w:p>
        </w:tc>
        <w:tc>
          <w:tcPr>
            <w:tcW w:w="15" w:type="dxa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111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</w:tcPr>
          <w:p>
            <w:pPr>
              <w:rPr>
                <w:rStyle w:val="C3"/>
              </w:rPr>
            </w:pPr>
          </w:p>
        </w:tc>
        <w:tc>
          <w:tcPr>
            <w:tcW w:w="13080" w:type="dxa"/>
            <w:gridSpan w:val="15"/>
            <w:shd w:val="clear" w:color="auto" w:fill="auto"/>
            <w:vAlign w:val="top"/>
          </w:tcPr>
          <w:p>
            <w:pPr>
              <w:pStyle w:val="P1"/>
              <w:rPr>
                <w:rStyle w:val="C4"/>
                <w:rtl w:val="0"/>
              </w:rPr>
            </w:pPr>
            <w:r>
              <w:rPr>
                <w:rStyle w:val="C4"/>
                <w:rtl w:val="0"/>
              </w:rPr>
              <w:t>Часть 1. Сведения об оказываемых государственных услугах</w:t>
            </w:r>
          </w:p>
        </w:tc>
        <w:tc>
          <w:tcPr>
            <w:tcW w:w="840" w:type="dxa"/>
            <w:gridSpan w:val="3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36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00"/>
        </w:trPr>
        <w:tc>
          <w:tcPr>
            <w:tcW w:w="6510" w:type="dxa"/>
            <w:gridSpan w:val="6"/>
          </w:tcPr>
          <w:p>
            <w:pPr>
              <w:rPr>
                <w:rStyle w:val="C3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top"/>
          </w:tcPr>
          <w:p>
            <w:pPr>
              <w:pStyle w:val="P5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Раздел</w:t>
            </w: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</w:t>
            </w:r>
          </w:p>
        </w:tc>
        <w:tc>
          <w:tcPr>
            <w:tcW w:w="6060" w:type="dxa"/>
            <w:gridSpan w:val="10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105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30"/>
        </w:trPr>
        <w:tc>
          <w:tcPr>
            <w:tcW w:w="15255" w:type="dxa"/>
            <w:gridSpan w:val="18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1. Характеристики государственной услуги.</w:t>
            </w:r>
          </w:p>
        </w:tc>
        <w:tc>
          <w:tcPr>
            <w:tcW w:w="15" w:type="dxa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810"/>
        </w:trPr>
        <w:tc>
          <w:tcPr>
            <w:tcW w:w="334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8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Наименование государственной услуги</w:t>
            </w:r>
          </w:p>
        </w:tc>
        <w:tc>
          <w:tcPr>
            <w:tcW w:w="1830" w:type="dxa"/>
            <w:gridSpan w:val="2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9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Уникальный номер реестровой записи</w:t>
            </w:r>
          </w:p>
        </w:tc>
        <w:tc>
          <w:tcPr>
            <w:tcW w:w="6405" w:type="dxa"/>
            <w:gridSpan w:val="9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3690" w:type="dxa"/>
            <w:gridSpan w:val="6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условия (формы) оказания государственной услуги</w:t>
            </w:r>
          </w:p>
        </w:tc>
      </w:tr>
      <w:tr>
        <w:trPr>
          <w:trHeight w:hRule="atLeast" w:val="765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</w:p>
        </w:tc>
        <w:tc>
          <w:tcPr>
            <w:tcW w:w="241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 xml:space="preserve">Наименование </w:t>
              <w:br w:type="textWrapping"/>
              <w:t>показателя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201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  <w:tc>
          <w:tcPr>
            <w:tcW w:w="186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</w:tr>
      <w:tr>
        <w:trPr>
          <w:trHeight w:hRule="atLeast" w:val="270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</w:t>
            </w: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</w:t>
            </w:r>
          </w:p>
        </w:tc>
        <w:tc>
          <w:tcPr>
            <w:tcW w:w="241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</w:t>
            </w:r>
          </w:p>
        </w:tc>
        <w:tc>
          <w:tcPr>
            <w:tcW w:w="201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</w:t>
            </w:r>
          </w:p>
        </w:tc>
        <w:tc>
          <w:tcPr>
            <w:tcW w:w="186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</w:t>
            </w:r>
          </w:p>
        </w:tc>
      </w:tr>
      <w:tr>
        <w:trPr>
          <w:trHeight w:hRule="exact" w:val="3255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5"/>
          </w:tcPr>
          <w:p>
            <w:pPr>
              <w:rPr>
                <w:rStyle w:val="C3"/>
              </w:rPr>
            </w:pPr>
          </w:p>
        </w:tc>
        <w:tc>
          <w:tcPr>
            <w:tcW w:w="675" w:type="dxa"/>
            <w:gridSpan w:val="2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</w:t>
            </w:r>
          </w:p>
        </w:tc>
        <w:tc>
          <w:tcPr>
            <w:tcW w:w="735" w:type="dxa"/>
            <w:gridSpan w:val="2"/>
          </w:tcPr>
          <w:p>
            <w:pPr>
              <w:rPr>
                <w:rStyle w:val="C3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540"/>
        </w:trPr>
        <w:tc>
          <w:tcPr>
            <w:tcW w:w="334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4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Предоставление социального обслуживания в форме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5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19100540000000000001</w:t>
            </w:r>
          </w:p>
        </w:tc>
        <w:tc>
          <w:tcPr>
            <w:tcW w:w="24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9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20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очно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7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Бесплатно, Платно</w:t>
            </w:r>
          </w:p>
        </w:tc>
      </w:tr>
      <w:tr>
        <w:trPr>
          <w:trHeight w:hRule="exact" w:val="18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1745" w:type="dxa"/>
            <w:gridSpan w:val="6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2. Категории потребителей государственной услуги</w:t>
            </w:r>
          </w:p>
        </w:tc>
        <w:tc>
          <w:tcPr>
            <w:tcW w:w="3525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</w:tr>
      <w:tr>
        <w:trPr>
          <w:trHeight w:hRule="atLeast" w:val="300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работы и средств к существованию</w:t>
            </w:r>
          </w:p>
        </w:tc>
      </w:tr>
      <w:tr>
        <w:trPr>
          <w:trHeight w:hRule="exact" w:val="1485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79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19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3. Показатели, характеризующие объем и качество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3.1. Показатели, характеризующие качество государственной услуги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95"/>
        </w:trPr>
        <w:tc>
          <w:tcPr>
            <w:tcW w:w="325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3525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579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1380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  <w:tc>
          <w:tcPr>
            <w:tcW w:w="1305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Коэффициент весомости</w:t>
            </w:r>
          </w:p>
        </w:tc>
      </w:tr>
      <w:tr>
        <w:trPr>
          <w:trHeight w:hRule="atLeast" w:val="51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</w:t>
              <w:br w:type="textWrapping"/>
              <w:t>по ОКЕИ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2022 год </w:t>
              <w:br w:type="textWrapping"/>
              <w:t>(очередной год)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2023 год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(1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(2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(3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(4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exact" w:val="28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7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3.2. Показатель, характеризующий объём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2445" w:type="dxa"/>
            <w:gridSpan w:val="3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4785" w:type="dxa"/>
            <w:gridSpan w:val="6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405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 xml:space="preserve">Среднегодовой размер платы (цена, тариф) </w:t>
              <w:br w:type="textWrapping"/>
              <w:t>за единицу услуги</w:t>
            </w:r>
          </w:p>
        </w:tc>
        <w:tc>
          <w:tcPr>
            <w:tcW w:w="1140" w:type="dxa"/>
            <w:gridSpan w:val="2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 по ОКЕИ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2022 год </w:t>
              <w:br w:type="textWrapping"/>
              <w:t>(очередной год)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2023 год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2022 год </w:t>
              <w:br w:type="textWrapping"/>
              <w:t xml:space="preserve">(очередной  год)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2023 год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9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</w:t>
            </w:r>
          </w:p>
        </w:tc>
      </w:tr>
      <w:tr>
        <w:trPr>
          <w:trHeight w:hRule="atLeast" w:val="525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1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Численность граждан, получивших социальные услуги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Человек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792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404,00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404,00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404,00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1 534,66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1 534,66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1 534,66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</w:tr>
      <w:tr>
        <w:trPr>
          <w:trHeight w:hRule="exact" w:val="150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520" w:type="dxa"/>
            <w:gridSpan w:val="18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4. Нормативные правовые акты, устанавливающие размер платы (цену, тариф) либо порядок её (его) установления: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6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gridSpan w:val="3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4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240" w:type="dxa"/>
            <w:gridSpan w:val="10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Нормативный правовой акт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Вид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Принявший орган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Дата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Номер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Наименование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29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Постановление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Региональная энергетическая комиссия Свердловской области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7"/>
              <w:rPr>
                <w:rStyle w:val="C40"/>
                <w:rtl w:val="0"/>
              </w:rPr>
            </w:pPr>
            <w:r>
              <w:rPr>
                <w:rStyle w:val="C40"/>
                <w:rtl w:val="0"/>
              </w:rPr>
              <w:t>18.11.2015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162-ПК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 Порядок оказания государственной услуги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2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5.1. Нормативные правовые акты, регулирующие порядок оказания государственной услуги (наименование, номер и дата нормативного правового акта):</w:t>
            </w: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Закон Свердловской области от 03 декабря 2014 года № 108-ОЗ "О социальном обслуживании граждан в Свердловской области"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55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Постановление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Приказ Министерства социальной политики Свердловской области от 11.08.2015 № 482 «Об утверждении стандартов социальных услуг»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5.2. Порядок информирования потенциальных потребителей государственной услуги: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301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Способ информирования</w:t>
            </w:r>
          </w:p>
        </w:tc>
        <w:tc>
          <w:tcPr>
            <w:tcW w:w="840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Состав размещаемой информации</w:t>
            </w:r>
          </w:p>
        </w:tc>
        <w:tc>
          <w:tcPr>
            <w:tcW w:w="384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Частота обновления информации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2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3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45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Размещение информации в средствах массовой информации (телевидение, радио, печатные издания) (по мере необходимости)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развитии учреждения, оказывающего государственные услуги, внедрении новых технологий оказания услуги, ответы на актуальные вопросы потребителей.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необходимости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91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личном обращении граждан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личного обращения потребителя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74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Информационные стенды в помещениях учреждения</w:t>
            </w:r>
          </w:p>
        </w:tc>
        <w:tc>
          <w:tcPr>
            <w:tcW w:w="8400" w:type="dxa"/>
            <w:gridSpan w:val="8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помещениях учреждения в удобном для обозрения месте размещаются: информация о режиме работы учреждения, время приема граждан (консультаций), перечень оказываемых государственных услуг, порядок и условия предоставления услуги, адреса и телефоны вышестоящего органа управления социальной политики. информация о замечаниях и предложениях о работе учреждения</w:t>
            </w:r>
          </w:p>
        </w:tc>
        <w:tc>
          <w:tcPr>
            <w:tcW w:w="3855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</w:tr>
      <w:tr>
        <w:trPr>
          <w:trHeight w:hRule="atLeast" w:val="915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обращении по телефону</w:t>
            </w:r>
          </w:p>
        </w:tc>
        <w:tc>
          <w:tcPr>
            <w:tcW w:w="8400" w:type="dxa"/>
            <w:gridSpan w:val="8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обращения потребителя по телефону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55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</w:tr>
      <w:tr>
        <w:trPr>
          <w:trHeight w:hRule="atLeast" w:val="1185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Официальный сайт учреждения</w:t>
            </w:r>
          </w:p>
        </w:tc>
        <w:tc>
          <w:tcPr>
            <w:tcW w:w="8400" w:type="dxa"/>
            <w:gridSpan w:val="8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наименовании учреждения, оказывающего государственные услуги, информация о режиме работы учреждения. перечне оказываемых услуг, информация о руководители учреждения, контактная информация (почтовый адрес, номера телефонов, адрес электронной почты)</w:t>
            </w:r>
          </w:p>
        </w:tc>
        <w:tc>
          <w:tcPr>
            <w:tcW w:w="3855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</w:tr>
      <w:tr>
        <w:trPr>
          <w:trHeight w:hRule="exact" w:val="360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510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top"/>
          </w:tcPr>
          <w:p>
            <w:pPr>
              <w:pStyle w:val="P5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Раздел</w:t>
            </w: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</w:t>
            </w:r>
          </w:p>
        </w:tc>
        <w:tc>
          <w:tcPr>
            <w:tcW w:w="606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05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70" w:type="dxa"/>
            <w:gridSpan w:val="14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1. Характеристики государственной услуги.</w:t>
            </w:r>
          </w:p>
        </w:tc>
      </w:tr>
      <w:tr>
        <w:trPr>
          <w:trHeight w:hRule="atLeast" w:val="810"/>
        </w:trPr>
        <w:tc>
          <w:tcPr>
            <w:tcW w:w="334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8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Наименование государственной услуги</w:t>
            </w:r>
          </w:p>
        </w:tc>
        <w:tc>
          <w:tcPr>
            <w:tcW w:w="1830" w:type="dxa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9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Уникальный номер реестровой записи</w:t>
            </w:r>
          </w:p>
        </w:tc>
        <w:tc>
          <w:tcPr>
            <w:tcW w:w="6405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369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условия (формы) оказания государственной услуги</w:t>
            </w:r>
          </w:p>
        </w:tc>
      </w:tr>
      <w:tr>
        <w:trPr>
          <w:trHeight w:hRule="atLeast" w:val="765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</w:p>
        </w:tc>
        <w:tc>
          <w:tcPr>
            <w:tcW w:w="24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 xml:space="preserve">Наименование </w:t>
              <w:br w:type="textWrapping"/>
              <w:t>показателя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201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</w:tr>
      <w:tr>
        <w:trPr>
          <w:trHeight w:hRule="atLeast" w:val="270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</w:t>
            </w:r>
          </w:p>
        </w:tc>
        <w:tc>
          <w:tcPr>
            <w:tcW w:w="24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</w:t>
            </w:r>
          </w:p>
        </w:tc>
        <w:tc>
          <w:tcPr>
            <w:tcW w:w="201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</w:t>
            </w:r>
          </w:p>
        </w:tc>
      </w:tr>
      <w:tr>
        <w:trPr>
          <w:trHeight w:hRule="exact" w:val="3150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540"/>
        </w:trPr>
        <w:tc>
          <w:tcPr>
            <w:tcW w:w="334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4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Предоставление социального обслуживания в полустационарной форме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5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19100550000000000001</w:t>
            </w:r>
          </w:p>
        </w:tc>
        <w:tc>
          <w:tcPr>
            <w:tcW w:w="24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9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20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очно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7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Бесплатно, Платно</w:t>
            </w:r>
          </w:p>
        </w:tc>
      </w:tr>
      <w:tr>
        <w:trPr>
          <w:trHeight w:hRule="exact" w:val="18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1745" w:type="dxa"/>
            <w:gridSpan w:val="6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2. Категории потребителей государственной услуги</w:t>
            </w:r>
          </w:p>
        </w:tc>
        <w:tc>
          <w:tcPr>
            <w:tcW w:w="3525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</w:tr>
      <w:tr>
        <w:trPr>
          <w:trHeight w:hRule="atLeast" w:val="300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работы и средств к существованию</w:t>
            </w:r>
          </w:p>
        </w:tc>
      </w:tr>
      <w:tr>
        <w:trPr>
          <w:trHeight w:hRule="exact" w:val="1485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6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79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19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3. Показатели, характеризующие объем и качество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3.1. Показатели, характеризующие качество государственной услуги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95"/>
        </w:trPr>
        <w:tc>
          <w:tcPr>
            <w:tcW w:w="325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3525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579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1380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  <w:tc>
          <w:tcPr>
            <w:tcW w:w="1305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Коэффициент весомости</w:t>
            </w:r>
          </w:p>
        </w:tc>
      </w:tr>
      <w:tr>
        <w:trPr>
          <w:trHeight w:hRule="atLeast" w:val="51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</w:t>
              <w:br w:type="textWrapping"/>
              <w:t>по ОКЕИ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2022 год </w:t>
              <w:br w:type="textWrapping"/>
              <w:t>(очередной год)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2023 год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(1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(2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(3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(4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exact" w:val="28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7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3.2. Показатель, характеризующий объём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2445" w:type="dxa"/>
            <w:gridSpan w:val="3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4785" w:type="dxa"/>
            <w:gridSpan w:val="6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405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 xml:space="preserve">Среднегодовой размер платы (цена, тариф) </w:t>
              <w:br w:type="textWrapping"/>
              <w:t>за единицу услуги</w:t>
            </w:r>
          </w:p>
        </w:tc>
        <w:tc>
          <w:tcPr>
            <w:tcW w:w="1140" w:type="dxa"/>
            <w:gridSpan w:val="2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 по ОКЕИ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2022 год </w:t>
              <w:br w:type="textWrapping"/>
              <w:t>(очередной год)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2023 год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2022 год </w:t>
              <w:br w:type="textWrapping"/>
              <w:t xml:space="preserve">(очередной  год)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2023 год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9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</w:t>
            </w:r>
          </w:p>
        </w:tc>
      </w:tr>
      <w:tr>
        <w:trPr>
          <w:trHeight w:hRule="atLeast" w:val="525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1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Численность граждан, получивших социальные услуги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Человек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792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2 586,00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2 586,00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2 586,00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</w:tr>
      <w:tr>
        <w:trPr>
          <w:trHeight w:hRule="exact" w:val="150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520" w:type="dxa"/>
            <w:gridSpan w:val="18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4. Нормативные правовые акты, устанавливающие размер платы (цену, тариф) либо порядок её (его) установления: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6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gridSpan w:val="3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7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4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240" w:type="dxa"/>
            <w:gridSpan w:val="10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Нормативный правовой акт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Вид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Принявший орган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Дата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Номер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Наименование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29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Постановление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Региональная энергетическая комиссия Свердловской области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7"/>
              <w:rPr>
                <w:rStyle w:val="C40"/>
                <w:rtl w:val="0"/>
              </w:rPr>
            </w:pPr>
            <w:r>
              <w:rPr>
                <w:rStyle w:val="C40"/>
                <w:rtl w:val="0"/>
              </w:rPr>
              <w:t>18.11.2015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162-ПК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 Порядок оказания государственной услуги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2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5.1. Нормативные правовые акты, регулирующие порядок оказания государственной услуги (наименование, номер и дата нормативного правового акта):</w:t>
            </w: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Закон Свердловской области от 03 декабря 2014 года № 108-ОЗ "О социальном обслуживании граждан в Свердловской области"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Приказ Министерства социальной политики Свердловской области от 11.08.2015 № 482 «Об утверждении стандартов социальных услуг»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55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Постановление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5.2. Порядок информирования потенциальных потребителей государственной услуги: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301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Способ информирования</w:t>
            </w:r>
          </w:p>
        </w:tc>
        <w:tc>
          <w:tcPr>
            <w:tcW w:w="840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Состав размещаемой информации</w:t>
            </w:r>
          </w:p>
        </w:tc>
        <w:tc>
          <w:tcPr>
            <w:tcW w:w="384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Частота обновления информации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2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3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18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Официальный сайт учреждения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наименовании учреждения, оказывающего государственные услуги, информация о режиме работы учреждения. перечне оказываемых услуг, информация о руководители учреждения, контактная информация (почтовый адрес, номера телефонов, адрес электронной почты)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15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8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47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Размещение информации в средствах массовой информации (телевидение, радио, печатные издания) (по мере необходимости)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развитии учреждения, оказывающего государственные услуги, внедрении новых технологий оказания услуги, ответы на актуальные вопросы потребителей.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необходимости</w:t>
            </w:r>
          </w:p>
        </w:tc>
      </w:tr>
      <w:tr>
        <w:trPr>
          <w:trHeight w:hRule="atLeast" w:val="90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обращении по телефону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обращения потребителя по телефону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</w:tr>
      <w:tr>
        <w:trPr>
          <w:trHeight w:hRule="atLeast" w:val="174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Информационные стенды в помещениях учреждения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помещениях учреждения в удобном для обозрения месте размещаются: информация о режиме работы учреждения, время приема граждан (консультаций), перечень оказываемых государственных услуг, порядок и условия предоставления услуги, адреса и телефоны вышестоящего органа управления социальной политики. информация о замечаниях и предложениях о работе учреждения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</w:tr>
      <w:tr>
        <w:trPr>
          <w:trHeight w:hRule="atLeast" w:val="915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личном обращении граждан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личного обращения потребителя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</w:tr>
      <w:tr>
        <w:trPr>
          <w:trHeight w:hRule="exact" w:val="4905"/>
        </w:trPr>
        <w:tc>
          <w:tcPr>
            <w:tcW w:w="1527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9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660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45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2150" w:type="dxa"/>
            <w:gridSpan w:val="5"/>
            <w:shd w:val="clear" w:color="auto" w:fill="auto"/>
            <w:vAlign w:val="top"/>
          </w:tcPr>
          <w:p>
            <w:pPr>
              <w:pStyle w:val="P1"/>
              <w:rPr>
                <w:rStyle w:val="C4"/>
                <w:rtl w:val="0"/>
              </w:rPr>
            </w:pPr>
            <w:r>
              <w:rPr>
                <w:rStyle w:val="C4"/>
                <w:rtl w:val="0"/>
              </w:rPr>
              <w:t>Часть 3. Прочие сведения о государственном задании</w:t>
            </w:r>
          </w:p>
        </w:tc>
        <w:tc>
          <w:tcPr>
            <w:tcW w:w="165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6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1745" w:type="dxa"/>
            <w:gridSpan w:val="4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1. Основания (условия и порядок) для досрочного прекращения выполнения государственного задания</w:t>
            </w:r>
          </w:p>
        </w:tc>
        <w:tc>
          <w:tcPr>
            <w:tcW w:w="351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70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Случаи, предусмотренные нормативными правовыми актами, влекущие за собой невозможность оказания государственной услуги, не устранимую в краткосрочной перспективе</w:t>
            </w:r>
          </w:p>
        </w:tc>
      </w:tr>
      <w:tr>
        <w:trPr>
          <w:trHeight w:hRule="atLeast" w:val="585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Исключение государственной услуги из общероссийских базовых (отраслевых) перечней ( классификаторов) государственных и муниципальных услуг, оказываемых физическим лицам, а также регионального перечня (классификатора) государственных (муниципальных) услуг и работ</w:t>
            </w:r>
          </w:p>
        </w:tc>
      </w:tr>
      <w:tr>
        <w:trPr>
          <w:trHeight w:hRule="atLeast" w:val="330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Реорганизация учреждения, которая привела исключению из компетенции учреждения полномочий по оказанию государственной услуги</w:t>
            </w:r>
          </w:p>
        </w:tc>
      </w:tr>
      <w:tr>
        <w:trPr>
          <w:trHeight w:hRule="atLeast" w:val="345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Иные основания, предусмотренные нормативными правовыми актами Российской Федерации и Свердловской области</w:t>
            </w:r>
          </w:p>
        </w:tc>
      </w:tr>
      <w:tr>
        <w:trPr>
          <w:trHeight w:hRule="atLeast" w:val="330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Ликвидация учреждения</w:t>
            </w:r>
          </w:p>
        </w:tc>
      </w:tr>
      <w:tr>
        <w:trPr>
          <w:trHeight w:hRule="exact" w:val="13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1745" w:type="dxa"/>
            <w:gridSpan w:val="4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2. Иная информация, необходимая для выполнения (контроля за выполнением) государственного задания</w:t>
            </w:r>
          </w:p>
        </w:tc>
        <w:tc>
          <w:tcPr>
            <w:tcW w:w="351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Необходимо предоставить пояснительную записку в программном комплексе "Сапфир" в случае отклонения значений показателей качества и объема оказания государственной услуги менее 95 процентов и более 105 процентов от установленного плана</w:t>
            </w:r>
          </w:p>
        </w:tc>
      </w:tr>
      <w:tr>
        <w:trPr>
          <w:trHeight w:hRule="exact" w:val="22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3. Порядок контроля за выполнением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85"/>
        </w:trPr>
        <w:tc>
          <w:tcPr>
            <w:tcW w:w="3240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Форма контроля</w:t>
            </w:r>
          </w:p>
        </w:tc>
        <w:tc>
          <w:tcPr>
            <w:tcW w:w="7110" w:type="dxa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Периодичность</w:t>
            </w:r>
          </w:p>
        </w:tc>
        <w:tc>
          <w:tcPr>
            <w:tcW w:w="489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Органы государственной власти Свердловской области, осуществляющие контроль за выполнением государственного задания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3240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</w:t>
            </w:r>
          </w:p>
        </w:tc>
        <w:tc>
          <w:tcPr>
            <w:tcW w:w="71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</w:t>
            </w:r>
          </w:p>
        </w:tc>
        <w:tc>
          <w:tcPr>
            <w:tcW w:w="4890" w:type="dxa"/>
            <w:gridSpan w:val="7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645"/>
        </w:trPr>
        <w:tc>
          <w:tcPr>
            <w:tcW w:w="3240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Документарная проверка</w:t>
            </w:r>
          </w:p>
        </w:tc>
        <w:tc>
          <w:tcPr>
            <w:tcW w:w="71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Ежеквартально, за год</w:t>
            </w:r>
          </w:p>
        </w:tc>
        <w:tc>
          <w:tcPr>
            <w:tcW w:w="4890" w:type="dxa"/>
            <w:gridSpan w:val="7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Министерство социальной политики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630"/>
        </w:trPr>
        <w:tc>
          <w:tcPr>
            <w:tcW w:w="3240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Выездная проверка</w:t>
            </w:r>
          </w:p>
        </w:tc>
        <w:tc>
          <w:tcPr>
            <w:tcW w:w="71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В соответствии с планом графиком выездных проверок. По мере необходимости (в случае обоснованных жалоб потребителей)</w:t>
            </w:r>
          </w:p>
        </w:tc>
        <w:tc>
          <w:tcPr>
            <w:tcW w:w="4890" w:type="dxa"/>
            <w:gridSpan w:val="7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Министерство социальной политики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 Требования к отчетности о выполнении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4.1. Периодичность представления отчетов о выполнении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10" w:type="dxa"/>
            <w:gridSpan w:val="9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Ежеквартально</w:t>
            </w:r>
          </w:p>
        </w:tc>
        <w:tc>
          <w:tcPr>
            <w:tcW w:w="45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90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4.2. Сроки представления отчетов о выполнении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25"/>
        </w:trPr>
        <w:tc>
          <w:tcPr>
            <w:tcW w:w="15210" w:type="dxa"/>
            <w:gridSpan w:val="9"/>
            <w:shd w:val="clear" w:color="auto" w:fill="auto"/>
            <w:vAlign w:val="bottom"/>
          </w:tcPr>
          <w:p>
            <w:pPr>
              <w:pStyle w:val="P41"/>
              <w:rPr>
                <w:rStyle w:val="C44"/>
                <w:rtl w:val="0"/>
              </w:rPr>
            </w:pPr>
            <w:r>
              <w:rPr>
                <w:rStyle w:val="C44"/>
                <w:rtl w:val="0"/>
              </w:rPr>
              <w:t>Представлять Учредителю квартальный отчет об исполнении государственного задания в срок не позднее 2 рабочих дней с момента окончания</w:t>
              <w:br w:type="textWrapping"/>
              <w:t>первого, второго, третьего квартала по форме согласно приложению № 4 к Порядку формирования государственного задания в отношении</w:t>
              <w:br w:type="textWrapping"/>
              <w:t>государственных учреждений Свердловской области и финансового обеспечения выполнения государственного задания, утвержденному</w:t>
            </w:r>
          </w:p>
        </w:tc>
        <w:tc>
          <w:tcPr>
            <w:tcW w:w="45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1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</w:t>
            </w:r>
          </w:p>
        </w:tc>
        <w:tc>
          <w:tcPr>
            <w:tcW w:w="720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695"/>
        </w:trPr>
        <w:tc>
          <w:tcPr>
            <w:tcW w:w="15210" w:type="dxa"/>
            <w:gridSpan w:val="6"/>
            <w:shd w:val="clear" w:color="auto" w:fill="auto"/>
            <w:vAlign w:val="top"/>
          </w:tcPr>
          <w:p>
            <w:pPr>
              <w:pStyle w:val="P42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Постановлением Правительства Свердловской области от 08.02.2011 № 76-ПП «О Порядке формирования государственного задания в отношении</w:t>
              <w:br w:type="textWrapping"/>
              <w:t xml:space="preserve">государственных учреждений Свердловской области и финансового обеспечения выполнения государственного задания» (далее  - Порядок,</w:t>
              <w:br w:type="textWrapping"/>
              <w:t>утвержденный Постановлением Правительства Свердловской области от 08.02.2011 № 76-ПП), предварительный годовой отчет об исполнении</w:t>
              <w:br w:type="textWrapping"/>
              <w:t>государственного задания в срок до 15 ноября, годовой отчет об исполнении государственного задания в срок до 01 февраля года, следующего за</w:t>
              <w:br w:type="textWrapping"/>
              <w:t>отчетным, по форме согласно приложению № 2 к Порядку, утвержденному Постановлением Правительства Свердловской области от 08.02.2011</w:t>
              <w:br w:type="textWrapping"/>
              <w:t>№ 76-ПП.</w:t>
            </w:r>
          </w:p>
        </w:tc>
        <w:tc>
          <w:tcPr>
            <w:tcW w:w="6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20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2930" w:type="dxa"/>
            <w:gridSpan w:val="2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4.3. Иные требования к отчетности о выполнении государственного задания</w:t>
            </w:r>
          </w:p>
        </w:tc>
        <w:tc>
          <w:tcPr>
            <w:tcW w:w="2325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410"/>
        </w:trPr>
        <w:tc>
          <w:tcPr>
            <w:tcW w:w="15210" w:type="dxa"/>
            <w:gridSpan w:val="6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Отчет об исполнении государственного задания и пояснительная записка предоставляются в электронном виде в программном комплексе «Информационная система управления финансами» и утверждаются усиленной квалифицированной электронной подписью лица, имеющего право действовать от имени казенного учреждения, бюджетного учреждения или автономного учреждения. Пояснительная записка предоставляется в случае отклонения значений показателей качества и объема оказания государственной услуги менее 95 процентов и более 105 процентов от установленного плана.</w:t>
            </w:r>
          </w:p>
        </w:tc>
        <w:tc>
          <w:tcPr>
            <w:tcW w:w="6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2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5. Иные показатели, связанные с выполнением государственного задания</w:t>
            </w:r>
          </w:p>
        </w:tc>
        <w:tc>
          <w:tcPr>
            <w:tcW w:w="234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7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Допустимые отклонения показателей качества и объема оказания государственной услуги в объеме 5,0 процентов обусловлены возможными колебаниями в потребности граждан в социальных услугах, а также техническими и сезонными перерывами в оказании социальных услуг. - 5,00</w:t>
            </w:r>
          </w:p>
        </w:tc>
      </w:tr>
      <w:tr>
        <w:trPr>
          <w:trHeight w:hRule="atLeast" w:val="330"/>
        </w:trPr>
        <w:tc>
          <w:tcPr>
            <w:tcW w:w="15270" w:type="dxa"/>
            <w:gridSpan w:val="7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 xml:space="preserve"> -</w:t>
            </w:r>
          </w:p>
        </w:tc>
      </w:tr>
      <w:tr>
        <w:trPr>
          <w:trHeight w:hRule="atLeast" w:val="330"/>
        </w:trPr>
        <w:tc>
          <w:tcPr>
            <w:tcW w:w="15270" w:type="dxa"/>
            <w:gridSpan w:val="7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</w:p>
        </w:tc>
      </w:tr>
      <w:tr>
        <w:trPr>
          <w:trHeight w:hRule="exact" w:val="4635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11</w:t>
            </w:r>
          </w:p>
        </w:tc>
        <w:tc>
          <w:tcPr>
            <w:tcW w:w="735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</w:tbl>
    <w:sectPr>
      <w:type w:val="nextPage"/>
      <w:pgSz w:w="16833" w:h="11908" w:orient="landscape"/>
      <w:pgMar w:left="850" w:right="720" w:top="0" w:bottom="0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szCs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2" w:right="22"/>
      <w:jc w:val="center"/>
    </w:pPr>
  </w:style>
  <w:style w:type="paragraph" w:styleId="P2">
    <w:name w:val="ParagraphStyle1"/>
    <w:hidden/>
    <w:pPr>
      <w:bidi w:val="0"/>
      <w:spacing w:before="0" w:after="0"/>
      <w:ind w:left="28" w:right="28"/>
      <w:jc w:val="center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spacing w:before="0" w:after="0"/>
      <w:ind w:left="28" w:right="28"/>
      <w:jc w:val="left"/>
    </w:pPr>
  </w:style>
  <w:style w:type="paragraph" w:styleId="P5">
    <w:name w:val="ParagraphStyle4"/>
    <w:hidden/>
    <w:pPr>
      <w:bidi w:val="0"/>
      <w:spacing w:before="0" w:after="0"/>
      <w:ind w:left="22" w:right="22"/>
      <w:jc w:val="center"/>
    </w:pPr>
  </w:style>
  <w:style w:type="paragraph" w:styleId="P6">
    <w:name w:val="ParagraphStyle5"/>
    <w:hidden/>
    <w:pPr>
      <w:bidi w:val="0"/>
      <w:spacing w:before="0" w:after="0"/>
      <w:ind w:left="28" w:right="28"/>
      <w:jc w:val="left"/>
    </w:pPr>
  </w:style>
  <w:style w:type="paragraph" w:styleId="P7">
    <w:name w:val="ParagraphStyle6"/>
    <w:hidden/>
    <w:pPr>
      <w:bidi w:val="0"/>
      <w:spacing w:before="0" w:after="0"/>
      <w:ind w:left="22" w:right="22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center"/>
    </w:pPr>
  </w:style>
  <w:style w:type="paragraph" w:styleId="P9">
    <w:name w:val="ParagraphStyle8"/>
    <w:hidden/>
    <w:pPr>
      <w:bidi w:val="0"/>
      <w:spacing w:before="0" w:after="0"/>
      <w:ind w:left="0" w:right="0"/>
      <w:jc w:val="center"/>
    </w:pPr>
  </w:style>
  <w:style w:type="paragraph" w:styleId="P10">
    <w:name w:val="ParagraphStyle9"/>
    <w:hidden/>
    <w:pPr>
      <w:bidi w:val="0"/>
      <w:spacing w:before="0" w:after="0"/>
      <w:ind w:left="0" w:right="0"/>
      <w:jc w:val="center"/>
    </w:pPr>
  </w:style>
  <w:style w:type="paragraph" w:styleId="P11">
    <w:name w:val="ParagraphStyle10"/>
    <w:hidden/>
    <w:pPr>
      <w:bidi w:val="0"/>
      <w:spacing w:before="0" w:after="0"/>
      <w:ind w:left="0" w:right="0"/>
      <w:jc w:val="center"/>
    </w:pPr>
  </w:style>
  <w:style w:type="paragraph" w:styleId="P12">
    <w:name w:val="ParagraphStyle11"/>
    <w:hidden/>
    <w:pPr>
      <w:bidi w:val="0"/>
      <w:spacing w:before="0" w:after="0"/>
      <w:ind w:left="0" w:right="0"/>
      <w:jc w:val="center"/>
    </w:pPr>
  </w:style>
  <w:style w:type="paragraph" w:styleId="P13">
    <w:name w:val="ParagraphStyle12"/>
    <w:hidden/>
    <w:pPr>
      <w:bidi w:val="0"/>
      <w:spacing w:before="0" w:after="0"/>
      <w:ind w:left="28" w:right="28"/>
      <w:jc w:val="left"/>
    </w:pPr>
  </w:style>
  <w:style w:type="paragraph" w:styleId="P14">
    <w:name w:val="ParagraphStyle13"/>
    <w:hidden/>
    <w:pPr>
      <w:bidi w:val="0"/>
      <w:spacing w:before="17" w:after="17"/>
      <w:ind w:left="17" w:right="17"/>
      <w:jc w:val="both"/>
    </w:pPr>
  </w:style>
  <w:style w:type="paragraph" w:styleId="P15">
    <w:name w:val="ParagraphStyle14"/>
    <w:hidden/>
    <w:pPr>
      <w:bidi w:val="0"/>
      <w:spacing w:before="17" w:after="17"/>
      <w:ind w:left="17" w:right="17"/>
      <w:jc w:val="left"/>
    </w:pPr>
  </w:style>
  <w:style w:type="paragraph" w:styleId="P16">
    <w:name w:val="ParagraphStyle15"/>
    <w:hidden/>
    <w:pPr>
      <w:bidi w:val="0"/>
      <w:spacing w:before="17" w:after="17"/>
      <w:ind w:left="17" w:right="17"/>
      <w:jc w:val="both"/>
    </w:pPr>
  </w:style>
  <w:style w:type="paragraph" w:styleId="P17">
    <w:name w:val="ParagraphStyle16"/>
    <w:hidden/>
    <w:pPr>
      <w:bidi w:val="0"/>
      <w:spacing w:before="0" w:after="0"/>
      <w:ind w:left="17" w:right="11"/>
      <w:jc w:val="both"/>
    </w:pPr>
  </w:style>
  <w:style w:type="paragraph" w:styleId="P18">
    <w:name w:val="ParagraphStyle17"/>
    <w:hidden/>
    <w:pPr>
      <w:bidi w:val="0"/>
      <w:spacing w:before="0" w:after="0"/>
      <w:ind w:left="22" w:right="22"/>
      <w:jc w:val="both"/>
    </w:pPr>
  </w:style>
  <w:style w:type="paragraph" w:styleId="P19">
    <w:name w:val="ParagraphStyle18"/>
    <w:hidden/>
    <w:pPr>
      <w:bidi w:val="0"/>
      <w:spacing w:before="0" w:after="0"/>
      <w:ind w:left="22" w:right="22"/>
      <w:jc w:val="both"/>
    </w:pPr>
  </w:style>
  <w:style w:type="paragraph" w:styleId="P20">
    <w:name w:val="ParagraphStyle19"/>
    <w:hidden/>
    <w:pPr>
      <w:bidi w:val="0"/>
      <w:spacing w:before="0" w:after="0"/>
      <w:ind w:left="22" w:right="22"/>
      <w:jc w:val="left"/>
    </w:pPr>
  </w:style>
  <w:style w:type="paragraph" w:styleId="P21">
    <w:name w:val="ParagraphStyle20"/>
    <w:hidden/>
    <w:pPr>
      <w:bidi w:val="0"/>
      <w:spacing w:before="0" w:after="0"/>
      <w:ind w:left="62" w:right="0"/>
      <w:jc w:val="center"/>
    </w:pPr>
  </w:style>
  <w:style w:type="paragraph" w:styleId="P22">
    <w:name w:val="ParagraphStyle21"/>
    <w:hidden/>
    <w:pPr>
      <w:bidi w:val="0"/>
      <w:spacing w:before="0" w:after="0"/>
      <w:ind w:left="62" w:right="0"/>
      <w:jc w:val="center"/>
    </w:pPr>
  </w:style>
  <w:style w:type="paragraph" w:styleId="P23">
    <w:name w:val="ParagraphStyle22"/>
    <w:hidden/>
    <w:pPr>
      <w:bidi w:val="0"/>
      <w:spacing w:before="0" w:after="0"/>
      <w:ind w:left="62" w:right="0"/>
      <w:jc w:val="center"/>
    </w:pPr>
  </w:style>
  <w:style w:type="paragraph" w:styleId="P24">
    <w:name w:val="ParagraphStyle23"/>
    <w:hidden/>
    <w:pPr>
      <w:bidi w:val="0"/>
      <w:spacing w:before="0" w:after="0"/>
      <w:ind w:left="0" w:right="0"/>
      <w:jc w:val="center"/>
    </w:pPr>
  </w:style>
  <w:style w:type="paragraph" w:styleId="P25">
    <w:name w:val="ParagraphStyle24"/>
    <w:hidden/>
    <w:pPr>
      <w:bidi w:val="0"/>
      <w:spacing w:before="0" w:after="0"/>
      <w:ind w:left="0" w:right="0"/>
      <w:jc w:val="center"/>
    </w:pPr>
  </w:style>
  <w:style w:type="paragraph" w:styleId="P26">
    <w:name w:val="ParagraphStyle25"/>
    <w:hidden/>
    <w:pPr>
      <w:bidi w:val="0"/>
      <w:spacing w:before="0" w:after="0"/>
      <w:ind w:left="0" w:right="0"/>
      <w:jc w:val="center"/>
    </w:pPr>
  </w:style>
  <w:style w:type="paragraph" w:styleId="P27">
    <w:name w:val="ParagraphStyle26"/>
    <w:hidden/>
    <w:pPr>
      <w:bidi w:val="0"/>
      <w:spacing w:before="0" w:after="0"/>
      <w:ind w:left="0" w:right="0"/>
      <w:jc w:val="center"/>
    </w:pPr>
  </w:style>
  <w:style w:type="paragraph" w:styleId="P28">
    <w:name w:val="ParagraphStyle27"/>
    <w:hidden/>
    <w:pPr>
      <w:bidi w:val="0"/>
      <w:spacing w:before="11" w:after="11"/>
      <w:ind w:left="11" w:right="11"/>
      <w:jc w:val="left"/>
    </w:pPr>
  </w:style>
  <w:style w:type="paragraph" w:styleId="P29">
    <w:name w:val="ParagraphStyle28"/>
    <w:hidden/>
    <w:pPr>
      <w:bidi w:val="0"/>
      <w:spacing w:before="17" w:after="17"/>
      <w:ind w:left="17" w:right="17"/>
      <w:jc w:val="left"/>
    </w:pPr>
  </w:style>
  <w:style w:type="paragraph" w:styleId="P30">
    <w:name w:val="ParagraphStyle29"/>
    <w:hidden/>
    <w:pPr>
      <w:bidi w:val="0"/>
      <w:spacing w:before="17" w:after="17"/>
      <w:ind w:left="17" w:right="17"/>
      <w:jc w:val="center"/>
    </w:pPr>
  </w:style>
  <w:style w:type="paragraph" w:styleId="P31">
    <w:name w:val="ParagraphStyle30"/>
    <w:hidden/>
    <w:pPr>
      <w:bidi w:val="0"/>
      <w:spacing w:before="17" w:after="17"/>
      <w:ind w:left="17" w:right="17"/>
      <w:jc w:val="left"/>
    </w:pPr>
  </w:style>
  <w:style w:type="paragraph" w:styleId="P32">
    <w:name w:val="ParagraphStyle31"/>
    <w:hidden/>
    <w:pPr>
      <w:bidi w:val="0"/>
      <w:spacing w:before="0" w:after="0"/>
      <w:ind w:left="0" w:right="0"/>
      <w:jc w:val="center"/>
    </w:pPr>
  </w:style>
  <w:style w:type="paragraph" w:styleId="P33">
    <w:name w:val="ParagraphStyle32"/>
    <w:hidden/>
    <w:pPr>
      <w:bidi w:val="0"/>
      <w:spacing w:before="0" w:after="0"/>
      <w:ind w:left="0" w:right="0"/>
      <w:jc w:val="center"/>
    </w:pPr>
  </w:style>
  <w:style w:type="paragraph" w:styleId="P34">
    <w:name w:val="ParagraphStyle33"/>
    <w:hidden/>
    <w:pPr>
      <w:bidi w:val="0"/>
      <w:spacing w:before="0" w:after="0"/>
      <w:ind w:left="0" w:right="0"/>
      <w:jc w:val="center"/>
    </w:pPr>
  </w:style>
  <w:style w:type="paragraph" w:styleId="P35">
    <w:name w:val="ParagraphStyle34"/>
    <w:hidden/>
    <w:pPr>
      <w:bidi w:val="0"/>
      <w:spacing w:before="17" w:after="17"/>
      <w:ind w:left="17" w:right="17"/>
      <w:jc w:val="left"/>
    </w:pPr>
  </w:style>
  <w:style w:type="paragraph" w:styleId="P36">
    <w:name w:val="ParagraphStyle35"/>
    <w:hidden/>
    <w:pPr>
      <w:bidi w:val="0"/>
      <w:spacing w:before="17" w:after="17"/>
      <w:ind w:left="17" w:right="17"/>
      <w:jc w:val="left"/>
    </w:pPr>
  </w:style>
  <w:style w:type="paragraph" w:styleId="P37">
    <w:name w:val="ParagraphStyle36"/>
    <w:hidden/>
    <w:pPr>
      <w:bidi w:val="0"/>
      <w:spacing w:before="17" w:after="17"/>
      <w:ind w:left="17" w:right="17"/>
      <w:jc w:val="center"/>
    </w:pPr>
  </w:style>
  <w:style w:type="paragraph" w:styleId="P38">
    <w:name w:val="ParagraphStyle37"/>
    <w:hidden/>
    <w:pPr>
      <w:bidi w:val="0"/>
      <w:spacing w:before="0" w:after="0"/>
      <w:ind w:left="0" w:right="0"/>
      <w:jc w:val="center"/>
    </w:pPr>
  </w:style>
  <w:style w:type="paragraph" w:styleId="P39">
    <w:name w:val="ParagraphStyle38"/>
    <w:hidden/>
    <w:pPr>
      <w:bidi w:val="0"/>
      <w:spacing w:before="17" w:after="17"/>
      <w:ind w:left="17" w:right="17"/>
      <w:jc w:val="both"/>
    </w:pPr>
  </w:style>
  <w:style w:type="paragraph" w:styleId="P40">
    <w:name w:val="ParagraphStyle39"/>
    <w:hidden/>
    <w:pPr>
      <w:bidi w:val="0"/>
      <w:spacing w:before="17" w:after="17"/>
      <w:ind w:left="17" w:right="17"/>
      <w:jc w:val="both"/>
    </w:pPr>
  </w:style>
  <w:style w:type="paragraph" w:styleId="P41">
    <w:name w:val="ParagraphStyle40"/>
    <w:hidden/>
    <w:pPr>
      <w:bidi w:val="0"/>
      <w:spacing w:before="0" w:after="0"/>
      <w:ind w:left="28" w:right="28"/>
      <w:jc w:val="left"/>
    </w:pPr>
  </w:style>
  <w:style w:type="paragraph" w:styleId="P42">
    <w:name w:val="ParagraphStyle41"/>
    <w:hidden/>
    <w:pPr>
      <w:bidi w:val="0"/>
      <w:spacing w:before="0" w:after="0"/>
      <w:ind w:left="28" w:right="28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Times New Roman" w:hAnsi="Times New Roman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5">
    <w:name w:val="CharacterStyle1"/>
    <w:hidden/>
    <w:rPr>
      <w:rFonts w:ascii="Times New Roman" w:hAnsi="Times New Roman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6">
    <w:name w:val="CharacterStyle2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7">
    <w:name w:val="CharacterStyle3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single"/>
    </w:rPr>
  </w:style>
  <w:style w:type="character" w:styleId="C8">
    <w:name w:val="CharacterStyle4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10">
    <w:name w:val="CharacterStyle6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11">
    <w:name w:val="CharacterStyle7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2">
    <w:name w:val="CharacterStyle8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3">
    <w:name w:val="CharacterStyle9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4">
    <w:name w:val="CharacterStyle10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5">
    <w:name w:val="CharacterStyle11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6">
    <w:name w:val="CharacterStyle12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7">
    <w:name w:val="CharacterStyle13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8">
    <w:name w:val="CharacterStyle14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9">
    <w:name w:val="CharacterStyle15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0">
    <w:name w:val="CharacterStyle16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22">
    <w:name w:val="CharacterStyle18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23">
    <w:name w:val="CharacterStyle19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24">
    <w:name w:val="CharacterStyle20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5">
    <w:name w:val="CharacterStyle21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6">
    <w:name w:val="CharacterStyle22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7">
    <w:name w:val="CharacterStyle23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8">
    <w:name w:val="CharacterStyle24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9">
    <w:name w:val="CharacterStyle25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0">
    <w:name w:val="CharacterStyle26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1">
    <w:name w:val="CharacterStyle27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2">
    <w:name w:val="CharacterStyle28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3">
    <w:name w:val="CharacterStyle29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4">
    <w:name w:val="CharacterStyle30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5">
    <w:name w:val="CharacterStyle31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6">
    <w:name w:val="CharacterStyle32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7">
    <w:name w:val="CharacterStyle33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8">
    <w:name w:val="CharacterStyle34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9">
    <w:name w:val="CharacterStyle35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0">
    <w:name w:val="CharacterStyle36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1">
    <w:name w:val="CharacterStyle37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2">
    <w:name w:val="CharacterStyle38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3">
    <w:name w:val="CharacterStyle39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4">
    <w:name w:val="CharacterStyle40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single"/>
    </w:rPr>
  </w:style>
  <w:style w:type="character" w:styleId="C45">
    <w:name w:val="CharacterStyle41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17.2.15.0</vt:lpwstr>
  </property>
</Properties>
</file>