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false"/>
        <w:spacing w:lineRule="auto" w:line="240" w:before="0" w:after="0"/>
        <w:ind w:right="-284" w:hanging="0"/>
        <w:jc w:val="center"/>
        <w:rPr/>
      </w:pPr>
      <w:r>
        <w:rPr>
          <w:rFonts w:cs="PT Astra Serif;Times New Roman" w:ascii="PT Astra Serif;Times New Roman" w:hAnsi="PT Astra Serif;Times New Roman"/>
          <w:sz w:val="28"/>
          <w:szCs w:val="28"/>
          <w:lang w:eastAsia="ru-RU"/>
        </w:rPr>
        <w:t xml:space="preserve">МИНИСТЕРСТВО СОЦИАЛЬНОЙ ПОЛИТИКИ СВЕРДЛОВСКОЙ ОБЛАСТИ </w:t>
      </w:r>
    </w:p>
    <w:p>
      <w:pPr>
        <w:pStyle w:val="Normal"/>
        <w:suppressAutoHyphens w:val="false"/>
        <w:spacing w:lineRule="auto" w:line="240" w:before="0" w:after="0"/>
        <w:ind w:right="-284" w:hanging="0"/>
        <w:jc w:val="center"/>
        <w:rPr>
          <w:rFonts w:ascii="Liberation Serif" w:hAnsi="Liberation Serif" w:cs="Liberation Serif"/>
          <w:b/>
          <w:b/>
          <w:bCs/>
          <w:sz w:val="28"/>
          <w:szCs w:val="28"/>
          <w:lang w:eastAsia="ru-RU"/>
        </w:rPr>
      </w:pPr>
      <w:r>
        <w:rPr>
          <w:rFonts w:cs="Liberation Serif" w:ascii="Liberation Serif" w:hAnsi="Liberation Serif"/>
          <w:b/>
          <w:bCs/>
          <w:sz w:val="28"/>
          <w:szCs w:val="28"/>
          <w:lang w:eastAsia="ru-RU"/>
        </w:rPr>
        <w:t xml:space="preserve">Территориальный отраслевой исполнительный орган государственной  </w:t>
      </w:r>
    </w:p>
    <w:p>
      <w:pPr>
        <w:pStyle w:val="Normal"/>
        <w:suppressAutoHyphens w:val="false"/>
        <w:spacing w:lineRule="auto" w:line="240" w:before="0" w:after="0"/>
        <w:ind w:right="-284" w:hanging="0"/>
        <w:jc w:val="center"/>
        <w:rPr>
          <w:rFonts w:ascii="Liberation Serif" w:hAnsi="Liberation Serif" w:cs="Liberation Serif"/>
          <w:b/>
          <w:b/>
          <w:bCs/>
          <w:sz w:val="28"/>
          <w:szCs w:val="28"/>
          <w:lang w:eastAsia="ru-RU"/>
        </w:rPr>
      </w:pPr>
      <w:r>
        <w:rPr>
          <w:rFonts w:cs="Liberation Serif" w:ascii="Liberation Serif" w:hAnsi="Liberation Serif"/>
          <w:b/>
          <w:bCs/>
          <w:sz w:val="28"/>
          <w:szCs w:val="28"/>
          <w:lang w:eastAsia="ru-RU"/>
        </w:rPr>
        <w:t xml:space="preserve">власти Свердловской области – Управление социальной политики </w:t>
      </w:r>
    </w:p>
    <w:p>
      <w:pPr>
        <w:pStyle w:val="Normal"/>
        <w:suppressAutoHyphens w:val="false"/>
        <w:spacing w:lineRule="auto" w:line="240" w:before="0" w:after="0"/>
        <w:ind w:right="-284" w:hanging="0"/>
        <w:jc w:val="center"/>
        <w:rPr>
          <w:rFonts w:ascii="Liberation Serif" w:hAnsi="Liberation Serif" w:cs="Liberation Serif"/>
          <w:b/>
          <w:b/>
          <w:bCs/>
          <w:sz w:val="28"/>
          <w:szCs w:val="28"/>
          <w:lang w:eastAsia="ru-RU"/>
        </w:rPr>
      </w:pPr>
      <w:r>
        <w:rPr>
          <w:rFonts w:cs="Liberation Serif" w:ascii="Liberation Serif" w:hAnsi="Liberation Serif"/>
          <w:b/>
          <w:bCs/>
          <w:sz w:val="28"/>
          <w:szCs w:val="28"/>
          <w:lang w:eastAsia="ru-RU"/>
        </w:rPr>
        <w:t>Министерства социальной политики Свердловской области № 11</w:t>
      </w:r>
    </w:p>
    <w:p>
      <w:pPr>
        <w:pStyle w:val="Normal"/>
        <w:keepNext w:val="true"/>
        <w:numPr>
          <w:ilvl w:val="0"/>
          <w:numId w:val="0"/>
        </w:numPr>
        <w:pBdr>
          <w:bottom w:val="single" w:sz="12" w:space="1" w:color="000000"/>
        </w:pBdr>
        <w:suppressAutoHyphens w:val="false"/>
        <w:spacing w:lineRule="auto" w:line="240" w:before="0" w:after="0"/>
        <w:ind w:right="-284" w:hanging="0"/>
        <w:jc w:val="center"/>
        <w:outlineLvl w:val="0"/>
        <w:rPr>
          <w:rFonts w:ascii="Liberation Serif" w:hAnsi="Liberation Serif" w:cs="Liberation Serif"/>
          <w:b/>
          <w:b/>
          <w:bCs/>
          <w:sz w:val="28"/>
          <w:szCs w:val="28"/>
          <w:lang w:eastAsia="ru-RU"/>
        </w:rPr>
      </w:pPr>
      <w:r>
        <w:rPr>
          <w:rFonts w:cs="Liberation Serif" w:ascii="Liberation Serif" w:hAnsi="Liberation Serif"/>
          <w:b/>
          <w:bCs/>
          <w:sz w:val="28"/>
          <w:szCs w:val="28"/>
          <w:lang w:eastAsia="ru-RU"/>
        </w:rPr>
        <w:t>ПРИКАЗ</w:t>
      </w:r>
    </w:p>
    <w:p>
      <w:pPr>
        <w:pStyle w:val="Normal"/>
        <w:suppressAutoHyphens w:val="false"/>
        <w:spacing w:lineRule="auto" w:line="240" w:before="0" w:after="0"/>
        <w:jc w:val="center"/>
        <w:rPr/>
      </w:pPr>
      <w:r>
        <w:rPr>
          <w:rFonts w:cs="Liberation Serif" w:ascii="Liberation Serif" w:hAnsi="Liberation Serif"/>
          <w:sz w:val="28"/>
          <w:szCs w:val="28"/>
          <w:lang w:eastAsia="ru-RU"/>
        </w:rPr>
        <w:t>«25» августа 2020                                                                                                № 380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г. Сухой Лог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Liberation Serif" w:cs="Liberation Serif"/>
          <w:b/>
          <w:b/>
          <w:sz w:val="28"/>
          <w:szCs w:val="28"/>
        </w:rPr>
      </w:pPr>
      <w:r>
        <w:rPr>
          <w:rFonts w:eastAsia="Liberation Serif" w:cs="Liberation Serif" w:ascii="Liberation Serif" w:hAnsi="Liberation Serif"/>
          <w:b/>
          <w:sz w:val="28"/>
          <w:szCs w:val="28"/>
        </w:rPr>
        <w:t xml:space="preserve">  </w:t>
      </w:r>
    </w:p>
    <w:p>
      <w:pPr>
        <w:pStyle w:val="Normal"/>
        <w:spacing w:lineRule="auto" w:line="240" w:before="0" w:after="0"/>
        <w:ind w:right="-284" w:hanging="0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ind w:right="-113" w:hanging="0"/>
        <w:jc w:val="center"/>
        <w:rPr/>
      </w:pPr>
      <w:r>
        <w:rPr>
          <w:rFonts w:cs="Liberation Serif" w:ascii="Liberation Serif" w:hAnsi="Liberation Serif"/>
          <w:b/>
          <w:sz w:val="28"/>
          <w:szCs w:val="28"/>
        </w:rPr>
        <w:t>Об утверждении Положения о порядке рассмотрения обращений граждан и организаций, содержащих информацию о фактах коррупции в Управлении социальной политики № 11</w:t>
      </w:r>
    </w:p>
    <w:p>
      <w:pPr>
        <w:pStyle w:val="Normal"/>
        <w:ind w:right="-113" w:firstLine="709"/>
        <w:jc w:val="both"/>
        <w:rPr>
          <w:rFonts w:ascii="Liberation Serif" w:hAnsi="Liberation Serif" w:eastAsia="Liberation Serif" w:cs="Liberation Serif"/>
          <w:b/>
          <w:b/>
          <w:sz w:val="28"/>
          <w:szCs w:val="28"/>
        </w:rPr>
      </w:pPr>
      <w:r>
        <w:rPr>
          <w:rFonts w:eastAsia="Liberation Serif" w:cs="Liberation Serif" w:ascii="Liberation Serif" w:hAnsi="Liberation Serif"/>
          <w:b/>
          <w:sz w:val="28"/>
          <w:szCs w:val="28"/>
        </w:rPr>
        <w:t xml:space="preserve">  </w:t>
      </w:r>
    </w:p>
    <w:p>
      <w:pPr>
        <w:pStyle w:val="Normal"/>
        <w:ind w:right="-113" w:firstLine="709"/>
        <w:jc w:val="both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ind w:right="-113"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>В соответствии с Федеральным законом от 02 мая 2006 года № 59-ФЗ «О порядке рассмотрения обращений граждан Российской Федерации», Федеральным законом от 25 декабря 2008 года № 273-ФЗ «О противодействии коррупции»,</w:t>
      </w:r>
    </w:p>
    <w:p>
      <w:pPr>
        <w:pStyle w:val="Normal"/>
        <w:ind w:right="-113" w:hanging="0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ПРИКАЗЫВАЮ:</w:t>
      </w:r>
    </w:p>
    <w:p>
      <w:pPr>
        <w:pStyle w:val="Normal"/>
        <w:ind w:right="-113"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>1. Утвердить Положение о порядке рассмотрения обращений граждан и организаций, содержащих информацию о фактах коррупции в Управлении социальной политики № 11 (прилагается).</w:t>
      </w:r>
    </w:p>
    <w:p>
      <w:pPr>
        <w:pStyle w:val="Normal"/>
        <w:widowControl w:val="false"/>
        <w:ind w:right="-113" w:firstLine="709"/>
        <w:jc w:val="both"/>
        <w:rPr/>
      </w:pPr>
      <w:r>
        <w:rPr>
          <w:rFonts w:eastAsia="Liberation Serif" w:cs="Liberation Serif" w:ascii="Liberation Serif" w:hAnsi="Liberation Serif"/>
          <w:sz w:val="28"/>
          <w:szCs w:val="28"/>
        </w:rPr>
        <w:t>2</w:t>
      </w:r>
      <w:r>
        <w:rPr>
          <w:rFonts w:cs="Liberation Serif" w:ascii="Liberation Serif" w:hAnsi="Liberation Serif"/>
          <w:sz w:val="28"/>
          <w:szCs w:val="28"/>
        </w:rPr>
        <w:t xml:space="preserve">. Контроль за исполнением приказа </w:t>
      </w:r>
      <w:r>
        <w:rPr>
          <w:rFonts w:cs="Liberation Serif" w:ascii="Liberation Serif" w:hAnsi="Liberation Serif"/>
          <w:color w:val="000000"/>
          <w:sz w:val="28"/>
          <w:szCs w:val="28"/>
        </w:rPr>
        <w:t>оставляю за собой</w:t>
      </w:r>
      <w:r>
        <w:rPr>
          <w:rFonts w:cs="Liberation Serif" w:ascii="Liberation Serif" w:hAnsi="Liberation Serif"/>
          <w:sz w:val="28"/>
          <w:szCs w:val="28"/>
        </w:rPr>
        <w:t>.</w:t>
      </w:r>
    </w:p>
    <w:p>
      <w:pPr>
        <w:pStyle w:val="Normal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ind w:right="-113" w:hanging="0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>Заместитель начальника Управления                                                  О.А.Гаджиева</w:t>
      </w:r>
    </w:p>
    <w:p>
      <w:pPr>
        <w:pStyle w:val="Normal"/>
        <w:ind w:right="-113" w:hanging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ind w:right="-113" w:hanging="0"/>
        <w:jc w:val="both"/>
        <w:rPr>
          <w:rFonts w:ascii="Liberation Serif" w:hAnsi="Liberation Serif" w:cs="Liberation Serif"/>
          <w:sz w:val="28"/>
          <w:szCs w:val="27"/>
        </w:rPr>
      </w:pPr>
      <w:r>
        <w:rPr>
          <w:rFonts w:cs="Liberation Serif" w:ascii="Liberation Serif" w:hAnsi="Liberation Serif"/>
          <w:sz w:val="28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right="-113" w:hanging="0"/>
        <w:jc w:val="both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cs="Liberation Serif" w:ascii="Liberation Serif" w:hAnsi="Liberation Serif"/>
          <w:sz w:val="28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Утверждено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приказом Управления 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социальной политики № 11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от 25 августа 2020  № 380</w:t>
      </w:r>
    </w:p>
    <w:p>
      <w:pPr>
        <w:pStyle w:val="ConsPlusNormal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  <w:bookmarkStart w:id="0" w:name="P34"/>
      <w:bookmarkStart w:id="1" w:name="P34"/>
      <w:bookmarkEnd w:id="1"/>
    </w:p>
    <w:p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ПОЛОЖЕНИЕ</w:t>
      </w:r>
    </w:p>
    <w:p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О ПОРЯДКЕ РАССМОТРЕНИЯ ОБРАЩЕНИЙ ГРАЖДАН </w:t>
      </w:r>
    </w:p>
    <w:p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И ОРГАНИЗАЦИЙ, СОДЕРЖАЩИХ ИНФОРМАЦИЮ </w:t>
      </w:r>
    </w:p>
    <w:p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О ФАКТАХ КОРРУПЦИИ, В УПРАВЛЕНИИ СОЦИАЛЬНОЙ </w:t>
      </w:r>
    </w:p>
    <w:p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ПОЛИТИКИ № 11</w:t>
      </w:r>
    </w:p>
    <w:p>
      <w:pPr>
        <w:pStyle w:val="Normal"/>
        <w:spacing w:lineRule="auto" w:line="240" w:before="0" w:after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Раздел 1. ОБЩИЕ ПОЛОЖЕНИЯ</w:t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1. Положение о порядке рассмотрения обращений граждан и организаций, содержащих информацию о фактах коррупции, в Управлении социальной политики № 11 (далее - Положение) разработано на основе законодательства Российской Федерации о противодействии коррупции и о порядке рассмотрения обращений граждан в целях повышения эффективности и результативности работы по рассмотрению обращений граждан и организаций, содержащих информацию о фактах коррупции.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2. Обеспечение объективного и своевременного рассмотрения обращений граждан и организаций, содержащих информацию о фактах коррупции, позволит оперативно выявлять и пресекать проявления коррупции в Управлении социальной политики № 11 (далее - Управлении), а также принимать меры по устранению последствий таких проявлений.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К обращениям, содержащим информацию о фактах коррупции, относятся обращения граждан и организаций, в которых содержится информация о действиях (бездействии) государственных гражданских служащих и работников Управления, связанных с незаконным использованием должностного положения вопреки законным интересам заявителя в целях получения выгоды в виде денег, имущественных прав для себя или третьих лиц, а также информация о несоблюдении государственными гражданскими служащими управления ограничений и запретов, связанных с государственной службой, требований к служебному поведению государственного гражданского служащего управления, а также о наличии у него личной заинтересованности, которая приводит или может привести к конфликту интересов, о возникновении конфликта интересов.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К обращениям, содержащим информацию о фактах коррупции (далее - Обращения), не относятся обращения, содержащие информацию о фактах нарушения государственными гражданскими служащими управления социальной политики служебной дисциплины.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3. Порядок и сроки рассмотрения Обращений регулируются Федеральным </w:t>
      </w:r>
      <w:hyperlink r:id="rId2">
        <w:r>
          <w:rPr>
            <w:rFonts w:cs="Liberation Serif" w:ascii="Liberation Serif" w:hAnsi="Liberation Serif"/>
            <w:sz w:val="28"/>
            <w:szCs w:val="28"/>
          </w:rPr>
          <w:t>законом</w:t>
        </w:r>
      </w:hyperlink>
      <w:r>
        <w:rPr>
          <w:rFonts w:cs="Liberation Serif" w:ascii="Liberation Serif" w:hAnsi="Liberation Serif"/>
          <w:sz w:val="28"/>
          <w:szCs w:val="28"/>
        </w:rPr>
        <w:t xml:space="preserve"> от 02 мая 2006 года № 59-ФЗ «О порядке рассмотрения обращений граждан Российской Федерации», Положением о порядке рассмотрения обращений граждан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11, утвержденного приказом начальника Управления от 20 сентября 2019 года « 1071, настоящим Положением.</w:t>
      </w:r>
    </w:p>
    <w:p>
      <w:pPr>
        <w:pStyle w:val="ConsPlusNormal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Раздел 2. ПОСТУПЛЕНИЕ ОБРАЩЕНИЙ В УПРАВЛЕНИЕ</w:t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4. Способы поступления Обращений в Управление: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1) в письменном виде (заявителем лично, почтовым отправлением, нарочным, посредством факсимильной связи, иными способами доставки);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2) в электронном виде (по электронной почте на адрес: </w:t>
      </w:r>
      <w:r>
        <w:rPr>
          <w:rFonts w:cs="Liberation Serif" w:ascii="Liberation Serif" w:hAnsi="Liberation Serif"/>
          <w:sz w:val="28"/>
          <w:szCs w:val="28"/>
          <w:lang w:val="en-US"/>
        </w:rPr>
        <w:t>tusp</w:t>
      </w:r>
      <w:r>
        <w:rPr>
          <w:rFonts w:cs="Liberation Serif" w:ascii="Liberation Serif" w:hAnsi="Liberation Serif"/>
          <w:sz w:val="28"/>
          <w:szCs w:val="28"/>
        </w:rPr>
        <w:t>11@egov66.ru, через систему «Электронная приемная» на официальном интернет - сайте Управления: www.</w:t>
      </w:r>
      <w:r>
        <w:rPr>
          <w:rFonts w:cs="Liberation Serif" w:ascii="Liberation Serif" w:hAnsi="Liberation Serif"/>
          <w:sz w:val="28"/>
          <w:szCs w:val="28"/>
          <w:lang w:val="en-US"/>
        </w:rPr>
        <w:t>tusp</w:t>
      </w:r>
      <w:r>
        <w:rPr>
          <w:rFonts w:cs="Liberation Serif" w:ascii="Liberation Serif" w:hAnsi="Liberation Serif"/>
          <w:sz w:val="28"/>
          <w:szCs w:val="28"/>
        </w:rPr>
        <w:t>11.msp.midural.ru (далее - официальный сайт Управления), посредством заполнения формы в подрубрике «Обратная связь о сообщениях о фактах коррупции» рубрики «Противодействие коррупции»;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3) по «телефону доверия» по вопросам противодействия коррупции +7 (34373) 4-36-02 (далее - телефон доверия), по телефонам «прямых линий» с гражданами по вопросам, отнесенным к сфере деятельности Управления;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4) на личном приеме граждан и представителей организаций начальником Управления социальной политики № 11 (далее – начальник Управления), заместителями начальника Управления и (или) уполномоченными должностными лицами Управления.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5. В Управлении осуществляется мониторинг публикаций, открытых писем и комментариев граждан и организаций в средствах массовой информации и информационно-телекоммуникационной сети «Интернет» о фактах коррупции, с последующим докладом о результатах мониторинга начальнику Управления.</w:t>
      </w:r>
    </w:p>
    <w:p>
      <w:pPr>
        <w:pStyle w:val="ConsPlusNormal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Раздел 3. ПОРЯДОК ИНФОРМИРОВАНИЯ ГРАЖДАН</w:t>
      </w:r>
    </w:p>
    <w:p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 СПОСОБАХ НАПРАВЛЕНИЯ ОБРАЩЕНИЙ В УПРАВЛЕНИЕ</w:t>
      </w:r>
    </w:p>
    <w:p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И О ПРОЦЕДУРАХ ИХ РАССМОТРЕНИЯ</w:t>
      </w:r>
    </w:p>
    <w:p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6. На постоянной основе на информационных стендах, официальном сайте Управления в рубриках «Противодействие коррупции» и «Обращения граждан» размещается следующая информация: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1) адрес официального сайта Управления, информация о наличии специального раздела, содержащего электронную форму, адреса электронной почты, с помощью которых можно направить Обращение в Управление;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2) номер «телефона доверия» по вопросам противодействия коррупции, а также номер факса, по которому возможно отправить Обращение в виде факсимильного сообщения;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3) адреса, где проходит личный прием граждан; график приема граждан начальником Управления, заместителями начальника Управления и (или) уполномоченными должностными лицами Управления, а также порядок записи на данный прием;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4) почтовый адрес с индексом Управления.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7. На информационных стендах, официальном сайте Управления размещается информация о процедурах рассмотрения Обращений: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1) извлечения из законодательства Российской Федерации, содержащие нормы, регулирующие деятельность по рассмотрению обращений граждан, и нормы по противодействию коррупции в Российской Федерации;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2) </w:t>
      </w:r>
      <w:hyperlink r:id="rId3">
        <w:r>
          <w:rPr>
            <w:rFonts w:cs="Liberation Serif" w:ascii="Liberation Serif" w:hAnsi="Liberation Serif"/>
            <w:sz w:val="28"/>
            <w:szCs w:val="28"/>
          </w:rPr>
          <w:t>Положение</w:t>
        </w:r>
      </w:hyperlink>
      <w:r>
        <w:rPr>
          <w:rFonts w:cs="Liberation Serif" w:ascii="Liberation Serif" w:hAnsi="Liberation Serif"/>
          <w:sz w:val="28"/>
          <w:szCs w:val="28"/>
        </w:rPr>
        <w:t xml:space="preserve"> о порядке рассмотрения обращений граждан в Управлении, положение о «телефоне доверия» по вопросам противодействия коррупции Управления, график проведения «прямых линий» с гражданами по вопросам, отнесенным к сфере деятельности Управления, настоящее Положение.</w:t>
      </w:r>
    </w:p>
    <w:p>
      <w:pPr>
        <w:pStyle w:val="ConsPlusNormal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Раздел 4. ПОРЯДОК РАССМОТРЕНИЯ ОБРАЩЕНИЙ В УПРАВЛЕНИИ</w:t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8. Прием и регистрация Обращений осуществляется инспектором Управления в соответствии с </w:t>
      </w:r>
      <w:hyperlink r:id="rId4">
        <w:r>
          <w:rPr>
            <w:rFonts w:cs="Liberation Serif" w:ascii="Liberation Serif" w:hAnsi="Liberation Serif"/>
            <w:sz w:val="28"/>
            <w:szCs w:val="28"/>
          </w:rPr>
          <w:t>Положением</w:t>
        </w:r>
      </w:hyperlink>
      <w:r>
        <w:rPr>
          <w:rFonts w:cs="Liberation Serif" w:ascii="Liberation Serif" w:hAnsi="Liberation Serif"/>
          <w:sz w:val="28"/>
          <w:szCs w:val="28"/>
        </w:rPr>
        <w:t xml:space="preserve"> о порядке рассмотрения обращений граждан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11.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9. Особенности и порядок приема и рассмотрения Обращений, поступивших по «телефону доверия», утверждаются нормативным правовым актом Управления.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10. Организация рассмотрения Обращений и подготовки ответа заявителю: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1) после регистрации Обращения передаются начальнику Управления или его заместителям, для рассмотрения и определения исполнителей;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2) при поступлении Обращения в отношении учреждения в число исполнителей в обязательном порядке включаются структурные подразделения, курирующие работу учреждений;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3) при рассмотрении Обращений ответственный исполнитель (исполнители):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обеспечивает объективное, всестороннее, своевременное рассмотрение Обращения, в случае необходимости запрашивает у заявителя дополнительные документы и материалы;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запрашивает, в том числе в электронной форме, необходимые для рассмотрения Обращения материалы, дополнительную информацию в органах государственной власти, органах местного самоуправления, у иных должностных лиц, за исключением судов, органов дознания, органов предварительного следствия и подразделений, осуществляющих оперативно-розыскную деятельность;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в рамках компетенции Управления принимает меры, направленные на восстановление и защиту нарушенных прав, свобод и законных интересов заявителей;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в случае необходимости подготавливает предложения о проведении выездной проверки в связи с Обращением и обеспечивает ее проведение.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11. Обращение не направляется в государственный орган или должностному лицу, решение или действие (бездействие) которого является предметом Обращения.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12. В случае если в Обращении содержатся сведения о несоблюдении государственным гражданским служащим Управления обязанностей, ограничений и запретов, связанных с государственной гражданской службой, требований к служебному поведению, о наличии у государственного гражданского служащего Управления личной заинтересованности, которая приводит или может привести к конфликту интересов, о возникновении конфликта интересов, о возможном совершении государственным гражданским служащим Управления других коррупционных правонарушений, начальник Управления принимает решение о целесообразности проведения проверки в отношении фактов, изложенных в Обращении, на основании докладной записки должностного лица, ответственного за профилактику коррупционных и иных правонарушений.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Данная проверка является проверкой соблюдения требований к служебному поведению (соблюдения государственным гражданским служащим ограничений и запретов, требований о предотвращении или об урегулировании конфликта интересов, исполнения им обязанностей, установленных Федеральным </w:t>
      </w:r>
      <w:hyperlink r:id="rId5">
        <w:r>
          <w:rPr>
            <w:rFonts w:cs="Liberation Serif" w:ascii="Liberation Serif" w:hAnsi="Liberation Serif"/>
            <w:sz w:val="28"/>
            <w:szCs w:val="28"/>
          </w:rPr>
          <w:t>законом</w:t>
        </w:r>
      </w:hyperlink>
      <w:r>
        <w:rPr>
          <w:rFonts w:cs="Liberation Serif" w:ascii="Liberation Serif" w:hAnsi="Liberation Serif"/>
          <w:sz w:val="28"/>
          <w:szCs w:val="28"/>
        </w:rPr>
        <w:t xml:space="preserve"> от 25 декабря 2008 года № 273-ФЗ «О противодействии коррупции» и другими федеральными законами) и проводится в соответствии с </w:t>
      </w:r>
      <w:hyperlink r:id="rId6">
        <w:r>
          <w:rPr>
            <w:rFonts w:cs="Liberation Serif" w:ascii="Liberation Serif" w:hAnsi="Liberation Serif"/>
            <w:sz w:val="28"/>
            <w:szCs w:val="28"/>
          </w:rPr>
          <w:t>Указом</w:t>
        </w:r>
      </w:hyperlink>
      <w:r>
        <w:rPr>
          <w:rFonts w:cs="Liberation Serif" w:ascii="Liberation Serif" w:hAnsi="Liberation Serif"/>
          <w:sz w:val="28"/>
          <w:szCs w:val="28"/>
        </w:rPr>
        <w:t xml:space="preserve"> Губернатора Свердловской области от 30.10.2009 № 968-УГ «Об утверждении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поведению» (далее - Указ Губернатора Свердловской области от 30.10.2009 № 968-УГ).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13. В случае если изложенные в Обращении факты нуждаются в проверке посредством проведения оперативно-розыскных мероприятий, то в процессе рассмотрения Обращения направляется запрос в государственные органы, уполномоченные на осуществление оперативно-розыскной деятельности, в порядке, установленном </w:t>
      </w:r>
      <w:hyperlink r:id="rId7">
        <w:r>
          <w:rPr>
            <w:rFonts w:cs="Liberation Serif" w:ascii="Liberation Serif" w:hAnsi="Liberation Serif"/>
            <w:sz w:val="28"/>
            <w:szCs w:val="28"/>
          </w:rPr>
          <w:t>Указом</w:t>
        </w:r>
      </w:hyperlink>
      <w:r>
        <w:rPr>
          <w:rFonts w:cs="Liberation Serif" w:ascii="Liberation Serif" w:hAnsi="Liberation Serif"/>
          <w:sz w:val="28"/>
          <w:szCs w:val="28"/>
        </w:rPr>
        <w:t xml:space="preserve"> Губернатора Свердловской области от 30.10.2009 № 968-УГ.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14. В случае если при проведении указанной проверки устанавливаются факты, свидетельствующие о несоблюдении государственным гражданским служащим Управления требований к служебному поведению и (или) требований об урегулировании конфликта интересов, то по материалам проверки принимается решение о рассмотрении указанного вопроса на заседании Комиссии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При принятии решения о рассмотрении указанного вопроса на заседании Комиссии назначается дата, время и место заседания, а также организуется работа по подготовке заседания Комиссии в соответствии с нормативными правовыми актами Российской Федерации и Свердловской области.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15. Ответ заявителю по существу вопросов, поставленных в Обращении, должен содержать информацию о результатах проведенных мероприятий и проверок, о решениях Комиссии (при наличии), а также информацию о принятых мерах, в том числе о применении к государственному гражданскому служащему Управления социальной политики мер ответственности либо об отсутствии оснований для проведения проверки и о не подтверждении фактов коррупции (с соблюдением законодательства о защите персональных данных).</w:t>
      </w:r>
    </w:p>
    <w:p>
      <w:pPr>
        <w:pStyle w:val="ConsPlusNormal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Раздел </w:t>
      </w:r>
      <w:hyperlink r:id="rId8">
        <w:r>
          <w:rPr>
            <w:rFonts w:cs="Liberation Serif" w:ascii="Liberation Serif" w:hAnsi="Liberation Serif"/>
            <w:sz w:val="28"/>
            <w:szCs w:val="28"/>
          </w:rPr>
          <w:t>5</w:t>
        </w:r>
      </w:hyperlink>
      <w:r>
        <w:rPr>
          <w:rFonts w:cs="Liberation Serif" w:ascii="Liberation Serif" w:hAnsi="Liberation Serif"/>
          <w:sz w:val="28"/>
          <w:szCs w:val="28"/>
        </w:rPr>
        <w:t>. КОНТРОЛЬ ЗА РАССМОТРЕНИЕМ ОБРАЩЕНИЙ</w:t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16. Текущий контроль за ходом рассмотрения Обращений осуществляет заместитель начальника Управления социальной политики № 11, ответственный за организацию и координацию работы по противодействию коррупции.</w:t>
      </w:r>
    </w:p>
    <w:p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17. Обращение снимается с контроля после направления заявителю ответа по существу вопросов, поставленных в Обраще</w:t>
      </w:r>
      <w:bookmarkStart w:id="2" w:name="_GoBack"/>
      <w:bookmarkEnd w:id="2"/>
      <w:r>
        <w:rPr>
          <w:rFonts w:cs="Liberation Serif" w:ascii="Liberation Serif" w:hAnsi="Liberation Serif"/>
          <w:sz w:val="28"/>
          <w:szCs w:val="28"/>
        </w:rPr>
        <w:t>нии.</w:t>
      </w:r>
    </w:p>
    <w:sectPr>
      <w:type w:val="nextPage"/>
      <w:pgSz w:w="11906" w:h="16838"/>
      <w:pgMar w:left="1418" w:right="849" w:header="0" w:top="1077" w:footer="0" w:bottom="107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PT Astra Serif">
    <w:altName w:val="Times New Roman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7f5fd7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ConsPlusNormal" w:customStyle="1">
    <w:name w:val="ConsPlusNormal"/>
    <w:qFormat/>
    <w:rsid w:val="00fc0e34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eastAsia="ru-RU" w:val="ru-RU" w:bidi="ar-SA"/>
    </w:rPr>
  </w:style>
  <w:style w:type="paragraph" w:styleId="ConsPlusTitle" w:customStyle="1">
    <w:name w:val="ConsPlusTitle"/>
    <w:qFormat/>
    <w:rsid w:val="00fc0e34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b/>
      <w:color w:val="auto"/>
      <w:kern w:val="0"/>
      <w:sz w:val="22"/>
      <w:szCs w:val="20"/>
      <w:lang w:eastAsia="ru-RU" w:val="ru-RU" w:bidi="ar-SA"/>
    </w:rPr>
  </w:style>
  <w:style w:type="paragraph" w:styleId="ConsPlusTitlePage" w:customStyle="1">
    <w:name w:val="ConsPlusTitlePage"/>
    <w:qFormat/>
    <w:rsid w:val="00fc0e34"/>
    <w:pPr>
      <w:widowControl w:val="false"/>
      <w:bidi w:val="0"/>
      <w:spacing w:lineRule="auto" w:line="240" w:before="0" w:after="0"/>
      <w:jc w:val="left"/>
    </w:pPr>
    <w:rPr>
      <w:rFonts w:ascii="Tahoma" w:hAnsi="Tahoma" w:eastAsia="Times New Roman" w:cs="Tahoma"/>
      <w:color w:val="auto"/>
      <w:kern w:val="0"/>
      <w:sz w:val="20"/>
      <w:szCs w:val="20"/>
      <w:lang w:eastAsia="ru-RU" w:val="ru-RU" w:bidi="ar-SA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7f5fd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C1EAB4B3924A56666A8ECC68BFE0644D1D151F0239491A4AD37CC0E91BD1F7D0FF98AF6411544263352C4E73F630AE230389FAD24CBC4E56L3z6E" TargetMode="External"/><Relationship Id="rId3" Type="http://schemas.openxmlformats.org/officeDocument/2006/relationships/hyperlink" Target="consultantplus://offline/ref=C1EAB4B3924A56666A8ED265A98C3A471F1F45073A4018148F28C6BE4481F185BFD8A93152104F6734271A23B26EF77042C2F7D757A04E50218E8345L1z2E" TargetMode="External"/><Relationship Id="rId4" Type="http://schemas.openxmlformats.org/officeDocument/2006/relationships/hyperlink" Target="consultantplus://offline/ref=C1EAB4B3924A56666A8ED265A98C3A471F1F45073A4018148F28C6BE4481F185BFD8A93152104F6734271A23B26EF77042C2F7D757A04E50218E8345L1z2E" TargetMode="External"/><Relationship Id="rId5" Type="http://schemas.openxmlformats.org/officeDocument/2006/relationships/hyperlink" Target="consultantplus://offline/ref=C1EAB4B3924A56666A8ECC68BFE0644D1D151B0B384C1A4AD37CC0E91BD1F7D0ED98F76813515C6633391822B3L6zCE" TargetMode="External"/><Relationship Id="rId6" Type="http://schemas.openxmlformats.org/officeDocument/2006/relationships/hyperlink" Target="consultantplus://offline/ref=C1EAB4B3924A56666A8ED265A98C3A471F1F450739481314872BC6BE4481F185BFD8A9314010176B36220422B57BA12107L9zEE" TargetMode="External"/><Relationship Id="rId7" Type="http://schemas.openxmlformats.org/officeDocument/2006/relationships/hyperlink" Target="consultantplus://offline/ref=C1EAB4B3924A56666A8ED265A98C3A471F1F450739481314872BC6BE4481F185BFD8A9314010176B36220422B57BA12107L9zEE" TargetMode="External"/><Relationship Id="rId8" Type="http://schemas.openxmlformats.org/officeDocument/2006/relationships/hyperlink" Target="consultantplus://offline/ref=C1EAB4B3924A56666A8ED265A98C3A471F1F4507394D151E8D2AC6BE4481F185BFD8A93152104F6734271A23B06EF77042C2F7D757A04E50218E8345L1z2E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Application>LibreOffice/7.1.5.2$Windows_X86_64 LibreOffice_project/85f04e9f809797b8199d13c421bd8a2b025d52b5</Application>
  <AppVersion>15.0000</AppVersion>
  <Pages>6</Pages>
  <Words>1415</Words>
  <Characters>10445</Characters>
  <CharactersWithSpaces>11953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2019-07-25T04:51:00Z</dcterms:created>
  <dc:creator>Захарова Наталья Николаевна</dc:creator>
  <dc:description/>
  <dc:language>ru-RU</dc:language>
  <cp:lastModifiedBy/>
  <cp:lastPrinted>2020-08-25T07:46:00Z</cp:lastPrinted>
  <dcterms:modified xsi:type="dcterms:W3CDTF">2023-03-21T12:01:49Z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