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CDE" w:rsidRPr="00AF662F" w:rsidRDefault="00703CDE" w:rsidP="00AF662F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ОБЗОР</w:t>
      </w:r>
    </w:p>
    <w:p w:rsidR="00703CDE" w:rsidRPr="00AF662F" w:rsidRDefault="00703CDE" w:rsidP="00AF662F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ПРАКТИКИ КОНСТИТУЦИОННОГО СУДА РОССИЙСКОЙ ФЕДЕРАЦИИ</w:t>
      </w:r>
    </w:p>
    <w:p w:rsidR="00703CDE" w:rsidRPr="00AF662F" w:rsidRDefault="00703CDE" w:rsidP="00AF662F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ЗА ВТОРОЙ КВАРТАЛ 2020 ГОДА</w:t>
      </w:r>
    </w:p>
    <w:p w:rsidR="00703CDE" w:rsidRPr="00AF662F" w:rsidRDefault="00703CDE" w:rsidP="00AF662F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03CDE" w:rsidRPr="00AF662F" w:rsidRDefault="00703CDE" w:rsidP="00AF662F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Настоящий обзор посвящен постановлениям и наиболее важным определениям, принятым Конституционным Судом Российской Федерации (далее - Конституционный Суд) во втором квартале 2020 года.</w:t>
      </w:r>
    </w:p>
    <w:p w:rsidR="00703CDE" w:rsidRPr="00AF662F" w:rsidRDefault="00703CDE" w:rsidP="00AF662F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03CDE" w:rsidRPr="00AF662F" w:rsidRDefault="00703CDE" w:rsidP="00AF662F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AF662F">
        <w:rPr>
          <w:rFonts w:ascii="Liberation Serif" w:hAnsi="Liberation Serif" w:cs="Liberation Serif"/>
          <w:sz w:val="24"/>
          <w:szCs w:val="24"/>
        </w:rPr>
        <w:t>II</w:t>
      </w:r>
    </w:p>
    <w:p w:rsidR="00703CDE" w:rsidRPr="00AF662F" w:rsidRDefault="00703CDE" w:rsidP="00AF662F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Конституционные основы трудового законодательства</w:t>
      </w:r>
    </w:p>
    <w:p w:rsidR="00703CDE" w:rsidRPr="00AF662F" w:rsidRDefault="00703CDE" w:rsidP="00AF662F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и социальной защиты</w:t>
      </w:r>
    </w:p>
    <w:p w:rsidR="00703CDE" w:rsidRPr="00AF662F" w:rsidRDefault="00703CDE" w:rsidP="00AF662F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03CDE" w:rsidRPr="00AF662F" w:rsidRDefault="00703CDE" w:rsidP="00AF662F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 xml:space="preserve">10. </w:t>
      </w:r>
      <w:hyperlink r:id="rId4">
        <w:r w:rsidRPr="00AF662F">
          <w:rPr>
            <w:rFonts w:ascii="Liberation Serif" w:hAnsi="Liberation Serif" w:cs="Liberation Serif"/>
            <w:sz w:val="24"/>
            <w:szCs w:val="24"/>
          </w:rPr>
          <w:t>Постановлением</w:t>
        </w:r>
      </w:hyperlink>
      <w:r w:rsidRPr="00AF662F">
        <w:rPr>
          <w:rFonts w:ascii="Liberation Serif" w:hAnsi="Liberation Serif" w:cs="Liberation Serif"/>
          <w:sz w:val="24"/>
          <w:szCs w:val="24"/>
        </w:rPr>
        <w:t xml:space="preserve"> от 6 апреля 2020 года </w:t>
      </w:r>
      <w:r w:rsidR="00AF662F">
        <w:rPr>
          <w:rFonts w:ascii="Liberation Serif" w:hAnsi="Liberation Serif" w:cs="Liberation Serif"/>
          <w:sz w:val="24"/>
          <w:szCs w:val="24"/>
        </w:rPr>
        <w:t>№</w:t>
      </w:r>
      <w:r w:rsidRPr="00AF662F">
        <w:rPr>
          <w:rFonts w:ascii="Liberation Serif" w:hAnsi="Liberation Serif" w:cs="Liberation Serif"/>
          <w:sz w:val="24"/>
          <w:szCs w:val="24"/>
        </w:rPr>
        <w:t xml:space="preserve"> 14-П Конституционный Суд дал оценку конституционности </w:t>
      </w:r>
      <w:hyperlink r:id="rId5">
        <w:r w:rsidRPr="00AF662F">
          <w:rPr>
            <w:rFonts w:ascii="Liberation Serif" w:hAnsi="Liberation Serif" w:cs="Liberation Serif"/>
            <w:sz w:val="24"/>
            <w:szCs w:val="24"/>
          </w:rPr>
          <w:t>пункта 1.1 части 1 статьи 37</w:t>
        </w:r>
      </w:hyperlink>
      <w:r w:rsidRPr="00AF662F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>
        <w:r w:rsidRPr="00AF662F">
          <w:rPr>
            <w:rFonts w:ascii="Liberation Serif" w:hAnsi="Liberation Serif" w:cs="Liberation Serif"/>
            <w:sz w:val="24"/>
            <w:szCs w:val="24"/>
          </w:rPr>
          <w:t>пункта 2 части 1 статьи 59.2</w:t>
        </w:r>
      </w:hyperlink>
      <w:r w:rsidRPr="00AF662F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AF662F">
        <w:rPr>
          <w:rFonts w:ascii="Liberation Serif" w:hAnsi="Liberation Serif" w:cs="Liberation Serif"/>
          <w:sz w:val="24"/>
          <w:szCs w:val="24"/>
        </w:rPr>
        <w:t>«</w:t>
      </w:r>
      <w:r w:rsidRPr="00AF662F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AF662F">
        <w:rPr>
          <w:rFonts w:ascii="Liberation Serif" w:hAnsi="Liberation Serif" w:cs="Liberation Serif"/>
          <w:sz w:val="24"/>
          <w:szCs w:val="24"/>
        </w:rPr>
        <w:t>»</w:t>
      </w:r>
      <w:r w:rsidRPr="00AF662F">
        <w:rPr>
          <w:rFonts w:ascii="Liberation Serif" w:hAnsi="Liberation Serif" w:cs="Liberation Serif"/>
          <w:sz w:val="24"/>
          <w:szCs w:val="24"/>
        </w:rPr>
        <w:t>.</w:t>
      </w:r>
    </w:p>
    <w:p w:rsidR="00703CDE" w:rsidRPr="00AF662F" w:rsidRDefault="00703CDE" w:rsidP="00AF662F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>Оспоренные положения являлись предметом рассмотрения в той мере, в какой они - в системной связи с иными положениями этого Федерального закона - служат основанием для решения вопроса об увольнении государственного гражданского служащего в связи с утратой доверия к нему представителем нанимателя по причине непредставления государственным гражданским служащим при поступлении на государственную гражданскую службу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супруги (супруга) и несовершеннолетних детей.</w:t>
      </w:r>
    </w:p>
    <w:p w:rsidR="00703CDE" w:rsidRPr="00AF662F" w:rsidRDefault="00703CDE" w:rsidP="00AF662F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F662F">
        <w:rPr>
          <w:rFonts w:ascii="Liberation Serif" w:hAnsi="Liberation Serif" w:cs="Liberation Serif"/>
          <w:sz w:val="24"/>
          <w:szCs w:val="24"/>
        </w:rPr>
        <w:t xml:space="preserve">Оспоренные взаимосвязанные положения были признаны не противоречащими </w:t>
      </w:r>
      <w:hyperlink r:id="rId7">
        <w:r w:rsidRPr="00AF662F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AF662F">
        <w:rPr>
          <w:rFonts w:ascii="Liberation Serif" w:hAnsi="Liberation Serif" w:cs="Liberation Serif"/>
          <w:sz w:val="24"/>
          <w:szCs w:val="24"/>
        </w:rPr>
        <w:t xml:space="preserve"> Российской Федерации, поскольку они, выступая элементами правового механизма применения к государственному гражданскому служащему меры ответственности за совершение им в период государственной гражданской службы такого коррупционного правонарушения, как непредставление указанных сведений либо представление заведомо недостоверных или неполных сведений, не предполагают его увольнения в связи с утратой доверия к нему представителем нанимателя, если государственный гражданский служащий не представил необходимых сведений о доходах, об имуществе и обязательствах имущественного характера при поступлении на государственную гражданскую службу, однако вопреки требованию закона был назначен на должность государственной гражданской службы.</w:t>
      </w:r>
    </w:p>
    <w:sectPr w:rsidR="00703CDE" w:rsidRPr="00AF662F" w:rsidSect="00AF662F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CDE"/>
    <w:rsid w:val="00044937"/>
    <w:rsid w:val="00703CDE"/>
    <w:rsid w:val="009E5B92"/>
    <w:rsid w:val="00AF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11A86-D74E-4D5C-902C-DE7AA83A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C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03C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03CD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4BBCDC4E83EEB1AA2F3CB9B331C2B6F73CBC4ECCA3FEEEBCCD9F4BEC8DFE20C2AE6CFC5AA679A4FFC5336R3m1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BBCDC4E83EEB1AA2F3CB9B331C2B6F75C0C6E0C96FB9E99D8CFABBC08FB81C3CAFC0C4B4639005AF17613FC4153E0D981BFFBA48R8mFD" TargetMode="External"/><Relationship Id="rId5" Type="http://schemas.openxmlformats.org/officeDocument/2006/relationships/hyperlink" Target="consultantplus://offline/ref=E4BBCDC4E83EEB1AA2F3CB9B331C2B6F75C0C6E0C96FB9E99D8CFABBC08FB81C3CAFC0C4B4649005AF17613FC4153E0D981BFFBA48R8mFD" TargetMode="External"/><Relationship Id="rId4" Type="http://schemas.openxmlformats.org/officeDocument/2006/relationships/hyperlink" Target="consultantplus://offline/ref=E4BBCDC4E83EEB1AA2F3CB9B331C2B6F72C7CAECC86BB9E99D8CFABBC08FB81C2EAF98C8B6678551FF4D3632C4R1m6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dcterms:created xsi:type="dcterms:W3CDTF">2023-01-20T03:38:00Z</dcterms:created>
  <dcterms:modified xsi:type="dcterms:W3CDTF">2023-01-20T06:47:00Z</dcterms:modified>
</cp:coreProperties>
</file>