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КОНСТИТУЦИОННЫЙ СУД РОССИЙСКОЙ ФЕДЕРАЦИИ</w:t>
      </w: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ОПРЕДЕЛЕНИЕ</w:t>
      </w: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от 21 июля 2022 г. N 1778-О</w:t>
      </w: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ОБ ОТКАЗЕ В ПРИНЯТИИ К РАССМОТРЕНИЮ ЖАЛОБЫ ГРАЖДАНКИ</w:t>
      </w: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КОРНЕЕВОЙ ТАТЬЯНЫ ВЛАДИМИРОВНЫ НА НАРУШЕНИЕ</w:t>
      </w: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ЕЕ КОНСТИТУЦИОННЫХ ПРАВ ПУНКТОМ 2 СТАТЬИ 223 И ПОДПУНКТОМ 8</w:t>
      </w: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ПУНКТА 2 СТАТЬИ 235 ГРАЖДАНСКОГО КОДЕКСА</w:t>
      </w: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РОССИЙСКОЙ ФЕДЕРАЦИИ, А ТАКЖЕ ЧАСТЬЮ 2 СТАТЬИ 18</w:t>
      </w: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ФЕДЕРАЛЬНОГО ЗАКОНА "О КОНТРОЛЕ ЗА СООТВЕТСТВИЕМ РАСХОДОВ</w:t>
      </w: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ЛИЦ, ЗАМЕЩАЮЩИХ ГОСУДАРСТВЕННЫЕ ДОЛЖНОСТИ, И ИНЫХ ЛИЦ</w:t>
      </w:r>
    </w:p>
    <w:p w:rsidR="00EC5BEB" w:rsidRPr="0053695A" w:rsidRDefault="00EC5BEB" w:rsidP="0053695A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ИХ ДОХОДАМ"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 xml:space="preserve">Конституционный Суд Российской Федерации в составе Председателя В.Д. </w:t>
      </w:r>
      <w:proofErr w:type="spellStart"/>
      <w:r w:rsidRPr="0053695A">
        <w:rPr>
          <w:rFonts w:ascii="Liberation Serif" w:hAnsi="Liberation Serif" w:cs="Liberation Serif"/>
          <w:sz w:val="24"/>
          <w:szCs w:val="24"/>
        </w:rPr>
        <w:t>Зорькина</w:t>
      </w:r>
      <w:proofErr w:type="spellEnd"/>
      <w:r w:rsidRPr="0053695A">
        <w:rPr>
          <w:rFonts w:ascii="Liberation Serif" w:hAnsi="Liberation Serif" w:cs="Liberation Serif"/>
          <w:sz w:val="24"/>
          <w:szCs w:val="24"/>
        </w:rPr>
        <w:t xml:space="preserve">, судей К.В. </w:t>
      </w:r>
      <w:proofErr w:type="spellStart"/>
      <w:r w:rsidRPr="0053695A">
        <w:rPr>
          <w:rFonts w:ascii="Liberation Serif" w:hAnsi="Liberation Serif" w:cs="Liberation Serif"/>
          <w:sz w:val="24"/>
          <w:szCs w:val="24"/>
        </w:rPr>
        <w:t>Арановского</w:t>
      </w:r>
      <w:proofErr w:type="spellEnd"/>
      <w:r w:rsidRPr="0053695A">
        <w:rPr>
          <w:rFonts w:ascii="Liberation Serif" w:hAnsi="Liberation Serif" w:cs="Liberation Serif"/>
          <w:sz w:val="24"/>
          <w:szCs w:val="24"/>
        </w:rPr>
        <w:t xml:space="preserve">, А.Ю. </w:t>
      </w:r>
      <w:proofErr w:type="spellStart"/>
      <w:r w:rsidRPr="0053695A">
        <w:rPr>
          <w:rFonts w:ascii="Liberation Serif" w:hAnsi="Liberation Serif" w:cs="Liberation Serif"/>
          <w:sz w:val="24"/>
          <w:szCs w:val="24"/>
        </w:rPr>
        <w:t>Бушева</w:t>
      </w:r>
      <w:proofErr w:type="spellEnd"/>
      <w:r w:rsidRPr="0053695A">
        <w:rPr>
          <w:rFonts w:ascii="Liberation Serif" w:hAnsi="Liberation Serif" w:cs="Liberation Serif"/>
          <w:sz w:val="24"/>
          <w:szCs w:val="24"/>
        </w:rPr>
        <w:t xml:space="preserve">, Г.А. Гаджиева, Л.М. </w:t>
      </w:r>
      <w:proofErr w:type="spellStart"/>
      <w:r w:rsidRPr="0053695A">
        <w:rPr>
          <w:rFonts w:ascii="Liberation Serif" w:hAnsi="Liberation Serif" w:cs="Liberation Serif"/>
          <w:sz w:val="24"/>
          <w:szCs w:val="24"/>
        </w:rPr>
        <w:t>Жарковой</w:t>
      </w:r>
      <w:proofErr w:type="spellEnd"/>
      <w:r w:rsidRPr="0053695A">
        <w:rPr>
          <w:rFonts w:ascii="Liberation Serif" w:hAnsi="Liberation Serif" w:cs="Liberation Serif"/>
          <w:sz w:val="24"/>
          <w:szCs w:val="24"/>
        </w:rPr>
        <w:t xml:space="preserve">, С.М. Казанцева, С.Д. Князева, А.Н. </w:t>
      </w:r>
      <w:proofErr w:type="spellStart"/>
      <w:r w:rsidRPr="0053695A">
        <w:rPr>
          <w:rFonts w:ascii="Liberation Serif" w:hAnsi="Liberation Serif" w:cs="Liberation Serif"/>
          <w:sz w:val="24"/>
          <w:szCs w:val="24"/>
        </w:rPr>
        <w:t>Кокотова</w:t>
      </w:r>
      <w:proofErr w:type="spellEnd"/>
      <w:r w:rsidRPr="0053695A">
        <w:rPr>
          <w:rFonts w:ascii="Liberation Serif" w:hAnsi="Liberation Serif" w:cs="Liberation Serif"/>
          <w:sz w:val="24"/>
          <w:szCs w:val="24"/>
        </w:rPr>
        <w:t xml:space="preserve">, Л.О. </w:t>
      </w:r>
      <w:proofErr w:type="spellStart"/>
      <w:r w:rsidRPr="0053695A">
        <w:rPr>
          <w:rFonts w:ascii="Liberation Serif" w:hAnsi="Liberation Serif" w:cs="Liberation Serif"/>
          <w:sz w:val="24"/>
          <w:szCs w:val="24"/>
        </w:rPr>
        <w:t>Красавчиковой</w:t>
      </w:r>
      <w:proofErr w:type="spellEnd"/>
      <w:r w:rsidRPr="0053695A">
        <w:rPr>
          <w:rFonts w:ascii="Liberation Serif" w:hAnsi="Liberation Serif" w:cs="Liberation Serif"/>
          <w:sz w:val="24"/>
          <w:szCs w:val="24"/>
        </w:rPr>
        <w:t>, С.П. Маврина, Н.В. Мельникова,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рассмотрев вопрос о возможности принятия жалобы гражданки Т.В. Корнеевой к рассмотрению в заседании Конституционного Суда Российской Федерации,</w:t>
      </w:r>
    </w:p>
    <w:p w:rsidR="00EC5BEB" w:rsidRPr="0053695A" w:rsidRDefault="00EC5BEB" w:rsidP="0053695A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EC5BEB" w:rsidRPr="0053695A" w:rsidRDefault="00EC5BEB" w:rsidP="0053695A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установил:</w:t>
      </w:r>
    </w:p>
    <w:p w:rsidR="00EC5BEB" w:rsidRPr="0053695A" w:rsidRDefault="00EC5BEB" w:rsidP="0053695A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1. Гражданка Т.В. Корнеева оспаривает конституционность следующих законоположений:</w:t>
      </w:r>
    </w:p>
    <w:p w:rsidR="00EC5BEB" w:rsidRPr="0053695A" w:rsidRDefault="00BA0344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4">
        <w:r w:rsidR="00EC5BEB" w:rsidRPr="0053695A">
          <w:rPr>
            <w:rFonts w:ascii="Liberation Serif" w:hAnsi="Liberation Serif" w:cs="Liberation Serif"/>
            <w:sz w:val="24"/>
            <w:szCs w:val="24"/>
          </w:rPr>
          <w:t>пункта 2 статьи 223</w:t>
        </w:r>
      </w:hyperlink>
      <w:r w:rsidR="00EC5BEB" w:rsidRPr="0053695A">
        <w:rPr>
          <w:rFonts w:ascii="Liberation Serif" w:hAnsi="Liberation Serif" w:cs="Liberation Serif"/>
          <w:sz w:val="24"/>
          <w:szCs w:val="24"/>
        </w:rPr>
        <w:t xml:space="preserve"> ГК Российской Федерации, согласно положению которого в случаях, когда отчуждение имущества подлежит государственной регистрации, право собственности у приобретателя возникает с момента такой регистрации, если иное не установлено законом;</w:t>
      </w:r>
    </w:p>
    <w:p w:rsidR="00EC5BEB" w:rsidRPr="0053695A" w:rsidRDefault="00BA0344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5">
        <w:r w:rsidR="00EC5BEB" w:rsidRPr="0053695A">
          <w:rPr>
            <w:rFonts w:ascii="Liberation Serif" w:hAnsi="Liberation Serif" w:cs="Liberation Serif"/>
            <w:sz w:val="24"/>
            <w:szCs w:val="24"/>
          </w:rPr>
          <w:t>подпункта 8 пункта 2 статьи 235</w:t>
        </w:r>
      </w:hyperlink>
      <w:r w:rsidR="00EC5BEB" w:rsidRPr="0053695A">
        <w:rPr>
          <w:rFonts w:ascii="Liberation Serif" w:hAnsi="Liberation Serif" w:cs="Liberation Serif"/>
          <w:sz w:val="24"/>
          <w:szCs w:val="24"/>
        </w:rPr>
        <w:t xml:space="preserve"> этого же Кодекса, предусматривающего, что принудительное изъятие у собственника имущества не допускается, кроме случаев, когда по основаниям, предусмотренным законом, производится обращение по решению суда в доход Российской Федерации имущества,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доходы;</w:t>
      </w:r>
    </w:p>
    <w:p w:rsidR="00EC5BEB" w:rsidRPr="0053695A" w:rsidRDefault="00BA0344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6">
        <w:r w:rsidR="00EC5BEB" w:rsidRPr="0053695A">
          <w:rPr>
            <w:rFonts w:ascii="Liberation Serif" w:hAnsi="Liberation Serif" w:cs="Liberation Serif"/>
            <w:sz w:val="24"/>
            <w:szCs w:val="24"/>
          </w:rPr>
          <w:t>части 2 статьи 18</w:t>
        </w:r>
      </w:hyperlink>
      <w:r w:rsidR="00EC5BEB" w:rsidRPr="0053695A">
        <w:rPr>
          <w:rFonts w:ascii="Liberation Serif" w:hAnsi="Liberation Serif" w:cs="Liberation Serif"/>
          <w:sz w:val="24"/>
          <w:szCs w:val="24"/>
        </w:rP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доходам", устанавливающей, что обязанность, предусмотренная </w:t>
      </w:r>
      <w:hyperlink r:id="rId7">
        <w:r w:rsidR="00EC5BEB" w:rsidRPr="0053695A">
          <w:rPr>
            <w:rFonts w:ascii="Liberation Serif" w:hAnsi="Liberation Serif" w:cs="Liberation Serif"/>
            <w:sz w:val="24"/>
            <w:szCs w:val="24"/>
          </w:rPr>
          <w:t>частью 1 статьи 3</w:t>
        </w:r>
      </w:hyperlink>
      <w:r w:rsidR="00EC5BEB" w:rsidRPr="0053695A">
        <w:rPr>
          <w:rFonts w:ascii="Liberation Serif" w:hAnsi="Liberation Serif" w:cs="Liberation Serif"/>
          <w:sz w:val="24"/>
          <w:szCs w:val="24"/>
        </w:rPr>
        <w:t xml:space="preserve"> данного Федерального закона, возникает в отношении сделок, совершенных с 1 января 2012 года.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Как следует из представленных материалов, вступившим в законную силу решением суда, с которым согласились вышестоящие суды, удовлетворены исковые требования прокурора к Т.В. Корнеевой и другим лицам об обращении в доход Российской Федерации находящегося у них имущества. При этом суды установили, что принадлежавшие заявительнице объекты недвижимого имущества были фактически приобретены на незаконно полученные доходы гражданином П. - супругом дочери Т.В. Корнеевой, который замещал с 2018 года должность муниципальной службы, а до этого проходил службу во внутренних войсках МВД России и на руководящих должностях в органах внутренних дел.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 xml:space="preserve">По мнению заявительницы, оспариваемые законоположения не соответствуют </w:t>
      </w:r>
      <w:hyperlink r:id="rId8">
        <w:r w:rsidRPr="0053695A">
          <w:rPr>
            <w:rFonts w:ascii="Liberation Serif" w:hAnsi="Liberation Serif" w:cs="Liberation Serif"/>
            <w:sz w:val="24"/>
            <w:szCs w:val="24"/>
          </w:rPr>
          <w:t>статье 54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Конституции Российской, поскольку они допускают обращение в доход Российской Федерации имущества, в отношении которого не представлено сведений, подтверждающих его приобретение на законные доходы, в случае приобретения соответствующего имущества до 1 января 2012 года.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2. Конституционный Суд Российской Федерации, изучив представленные материалы, не находит оснований для принятия данной жалобы к рассмотрению.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 xml:space="preserve">Как следует из правовых позиций, выраженных Конституционным Судом Российской Федерации в постановлениях от 29 ноября 2016 года </w:t>
      </w:r>
      <w:hyperlink r:id="rId9">
        <w:r w:rsidRPr="0053695A">
          <w:rPr>
            <w:rFonts w:ascii="Liberation Serif" w:hAnsi="Liberation Serif" w:cs="Liberation Serif"/>
            <w:sz w:val="24"/>
            <w:szCs w:val="24"/>
          </w:rPr>
          <w:t>N 26-П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и от 9 января 2019 года </w:t>
      </w:r>
      <w:hyperlink r:id="rId10">
        <w:r w:rsidRPr="0053695A">
          <w:rPr>
            <w:rFonts w:ascii="Liberation Serif" w:hAnsi="Liberation Serif" w:cs="Liberation Serif"/>
            <w:sz w:val="24"/>
            <w:szCs w:val="24"/>
          </w:rPr>
          <w:t>N 1-П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, определениях от 6 июня 2017 года </w:t>
      </w:r>
      <w:hyperlink r:id="rId11">
        <w:r w:rsidRPr="0053695A">
          <w:rPr>
            <w:rFonts w:ascii="Liberation Serif" w:hAnsi="Liberation Serif" w:cs="Liberation Serif"/>
            <w:sz w:val="24"/>
            <w:szCs w:val="24"/>
          </w:rPr>
          <w:t>N 1163-О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, от 29 мая 2019 года </w:t>
      </w:r>
      <w:hyperlink r:id="rId12">
        <w:r w:rsidRPr="0053695A">
          <w:rPr>
            <w:rFonts w:ascii="Liberation Serif" w:hAnsi="Liberation Serif" w:cs="Liberation Serif"/>
            <w:sz w:val="24"/>
            <w:szCs w:val="24"/>
          </w:rPr>
          <w:t>N 1312-О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и от 2 октября 2019 года </w:t>
      </w:r>
      <w:hyperlink r:id="rId13">
        <w:r w:rsidRPr="0053695A">
          <w:rPr>
            <w:rFonts w:ascii="Liberation Serif" w:hAnsi="Liberation Serif" w:cs="Liberation Serif"/>
            <w:sz w:val="24"/>
            <w:szCs w:val="24"/>
          </w:rPr>
          <w:t>N 2652-О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>, обращение по решению суда в доход Российской Федерации имущества, в отношении которого не представлены в соответствии с законодательством Российской Федерации о противодействии коррупции доказательства его приобретения на законные доходы, относится к особым правовым мерам, применяемым в случае нарушения лицами, выполняющими публичные функции, антикоррупционного законодательства и направленным на эффективное противодействие коррупции и защиту конституционно значимых ценностей.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 xml:space="preserve">Конституционный Суд Российской Федерации также указывал, что установленный </w:t>
      </w:r>
      <w:r w:rsidRPr="0053695A">
        <w:rPr>
          <w:rFonts w:ascii="Liberation Serif" w:hAnsi="Liberation Serif" w:cs="Liberation Serif"/>
          <w:sz w:val="24"/>
          <w:szCs w:val="24"/>
        </w:rPr>
        <w:lastRenderedPageBreak/>
        <w:t xml:space="preserve">Федеральным </w:t>
      </w:r>
      <w:hyperlink r:id="rId14">
        <w:r w:rsidRPr="005369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"О контроле за соответствием расходов лиц, замещающих государственные должности, и иных лиц их доходам" порядок применения данной меры позволяет обеспечить баланс публичных интересов борьбы с коррупцией и частных интересов собственника, приобретшего имущество на доходы, не связанные с коррупционной деятельностью, и не предполагает лишение лица, в отношении которого разрешается вопрос об обращении принадлежащего ему имущества в доход Российской Федерации, права представлять в суде любые допустимые доказательства в подтверждение законного происхождения средств, затраченных на приобретение того или иного имущества (</w:t>
      </w:r>
      <w:hyperlink r:id="rId15">
        <w:r w:rsidRPr="0053695A">
          <w:rPr>
            <w:rFonts w:ascii="Liberation Serif" w:hAnsi="Liberation Serif" w:cs="Liberation Serif"/>
            <w:sz w:val="24"/>
            <w:szCs w:val="24"/>
          </w:rPr>
          <w:t>Постановление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от 29 ноября 2016 года N 26-П; определения от 6 июня 2017 года </w:t>
      </w:r>
      <w:hyperlink r:id="rId16">
        <w:r w:rsidRPr="0053695A">
          <w:rPr>
            <w:rFonts w:ascii="Liberation Serif" w:hAnsi="Liberation Serif" w:cs="Liberation Serif"/>
            <w:sz w:val="24"/>
            <w:szCs w:val="24"/>
          </w:rPr>
          <w:t>N 1163-О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, от 18 июля 2017 года </w:t>
      </w:r>
      <w:hyperlink r:id="rId17">
        <w:r w:rsidRPr="0053695A">
          <w:rPr>
            <w:rFonts w:ascii="Liberation Serif" w:hAnsi="Liberation Serif" w:cs="Liberation Serif"/>
            <w:sz w:val="24"/>
            <w:szCs w:val="24"/>
          </w:rPr>
          <w:t>N 1736-О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и от 28 декабря 2021 года </w:t>
      </w:r>
      <w:hyperlink r:id="rId18">
        <w:r w:rsidRPr="0053695A">
          <w:rPr>
            <w:rFonts w:ascii="Liberation Serif" w:hAnsi="Liberation Serif" w:cs="Liberation Serif"/>
            <w:sz w:val="24"/>
            <w:szCs w:val="24"/>
          </w:rPr>
          <w:t>N 2969-О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>).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 xml:space="preserve">Таким образом, </w:t>
      </w:r>
      <w:hyperlink r:id="rId19">
        <w:r w:rsidRPr="0053695A">
          <w:rPr>
            <w:rFonts w:ascii="Liberation Serif" w:hAnsi="Liberation Serif" w:cs="Liberation Serif"/>
            <w:sz w:val="24"/>
            <w:szCs w:val="24"/>
          </w:rPr>
          <w:t>пункт 2 статьи 223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20">
        <w:r w:rsidRPr="0053695A">
          <w:rPr>
            <w:rFonts w:ascii="Liberation Serif" w:hAnsi="Liberation Serif" w:cs="Liberation Serif"/>
            <w:sz w:val="24"/>
            <w:szCs w:val="24"/>
          </w:rPr>
          <w:t>подпункт 8 пункта 2 статьи 235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ГК Российской Федерации, а также </w:t>
      </w:r>
      <w:hyperlink r:id="rId21">
        <w:r w:rsidRPr="0053695A">
          <w:rPr>
            <w:rFonts w:ascii="Liberation Serif" w:hAnsi="Liberation Serif" w:cs="Liberation Serif"/>
            <w:sz w:val="24"/>
            <w:szCs w:val="24"/>
          </w:rPr>
          <w:t>часть 2 статьи 18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действующие с учетом правовых позиций Конституционного Суда Российской Федерации, не предполагают принятия произвольных решений об обращении имущества в доход Российской Федерации. Соответственно, сами по себе оспариваемые законоположения не могут рассматриваться как нарушающие перечисленные в жалобе конституционные права заявительницы, в деле с участием которой суды указали на доказанность обстоятельств, подтверждающих приобретение спорного имущества за счет доходов лица, за расходами которого осуществлялся контроль в соответствии с Федеральным </w:t>
      </w:r>
      <w:hyperlink r:id="rId22">
        <w:r w:rsidRPr="0053695A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"О контроле за соответствием расходов лиц, замещающих государственные должности, и иных лиц их доходам", законность которых не подтверждена.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 xml:space="preserve">Установление же и оценка фактических обстоятельств конкретного дела не относятся к компетенции Конституционного Суда Российской Федерации, как она определена в </w:t>
      </w:r>
      <w:hyperlink r:id="rId23">
        <w:r w:rsidRPr="0053695A">
          <w:rPr>
            <w:rFonts w:ascii="Liberation Serif" w:hAnsi="Liberation Serif" w:cs="Liberation Serif"/>
            <w:sz w:val="24"/>
            <w:szCs w:val="24"/>
          </w:rPr>
          <w:t>статье 125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Конституции Российской Федерации и </w:t>
      </w:r>
      <w:hyperlink r:id="rId24">
        <w:r w:rsidRPr="0053695A">
          <w:rPr>
            <w:rFonts w:ascii="Liberation Serif" w:hAnsi="Liberation Serif" w:cs="Liberation Serif"/>
            <w:sz w:val="24"/>
            <w:szCs w:val="24"/>
          </w:rPr>
          <w:t>статье 3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Федерального конституционного закона "О Конституционном Суде Российской Федерации".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 xml:space="preserve">Исходя из изложенного и руководствуясь </w:t>
      </w:r>
      <w:hyperlink r:id="rId25">
        <w:r w:rsidRPr="0053695A">
          <w:rPr>
            <w:rFonts w:ascii="Liberation Serif" w:hAnsi="Liberation Serif" w:cs="Liberation Serif"/>
            <w:sz w:val="24"/>
            <w:szCs w:val="24"/>
          </w:rPr>
          <w:t>пунктом 2 части первой статьи 43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26">
        <w:r w:rsidRPr="0053695A">
          <w:rPr>
            <w:rFonts w:ascii="Liberation Serif" w:hAnsi="Liberation Serif" w:cs="Liberation Serif"/>
            <w:sz w:val="24"/>
            <w:szCs w:val="24"/>
          </w:rPr>
          <w:t>частью первой статьи 79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27">
        <w:r w:rsidRPr="0053695A">
          <w:rPr>
            <w:rFonts w:ascii="Liberation Serif" w:hAnsi="Liberation Serif" w:cs="Liberation Serif"/>
            <w:sz w:val="24"/>
            <w:szCs w:val="24"/>
          </w:rPr>
          <w:t>статьями 96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28">
        <w:r w:rsidRPr="0053695A">
          <w:rPr>
            <w:rFonts w:ascii="Liberation Serif" w:hAnsi="Liberation Serif" w:cs="Liberation Serif"/>
            <w:sz w:val="24"/>
            <w:szCs w:val="24"/>
          </w:rPr>
          <w:t>97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Федерального конституционного закона "О Конституционном Суде Российской Федерации", Конституционный Суд Российской Федерации</w:t>
      </w:r>
    </w:p>
    <w:p w:rsidR="00EC5BEB" w:rsidRPr="0053695A" w:rsidRDefault="00EC5BEB" w:rsidP="0053695A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EC5BEB" w:rsidRPr="0053695A" w:rsidRDefault="00EC5BEB" w:rsidP="0053695A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определил:</w:t>
      </w:r>
    </w:p>
    <w:p w:rsidR="00EC5BEB" w:rsidRPr="0053695A" w:rsidRDefault="00EC5BEB" w:rsidP="0053695A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 xml:space="preserve">1. Отказать в принятии к рассмотрению жалобы гражданки Корнеевой Татьяны Владимировны, поскольку она не отвечает требованиям Федерального конституционного </w:t>
      </w:r>
      <w:hyperlink r:id="rId29">
        <w:r w:rsidRPr="0053695A">
          <w:rPr>
            <w:rFonts w:ascii="Liberation Serif" w:hAnsi="Liberation Serif" w:cs="Liberation Serif"/>
            <w:sz w:val="24"/>
            <w:szCs w:val="24"/>
          </w:rPr>
          <w:t>закона</w:t>
        </w:r>
      </w:hyperlink>
      <w:r w:rsidRPr="0053695A">
        <w:rPr>
          <w:rFonts w:ascii="Liberation Serif" w:hAnsi="Liberation Serif" w:cs="Liberation Serif"/>
          <w:sz w:val="24"/>
          <w:szCs w:val="24"/>
        </w:rPr>
        <w:t xml:space="preserve"> "О Конституционном Суде Российской Федерации", в соответствии с которыми жалоба в Конституционный Суд Российской Федерации признается допустимой.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2. Определение Конституционного Суда Российской Федерации по данной жалобе окончательно и обжалованию не подлежит.</w:t>
      </w:r>
    </w:p>
    <w:p w:rsidR="00EC5BEB" w:rsidRPr="0053695A" w:rsidRDefault="00EC5BEB" w:rsidP="0053695A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EC5BEB" w:rsidRPr="0053695A" w:rsidRDefault="00EC5BEB" w:rsidP="0053695A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Председатель</w:t>
      </w:r>
    </w:p>
    <w:p w:rsidR="00EC5BEB" w:rsidRPr="0053695A" w:rsidRDefault="00EC5BEB" w:rsidP="0053695A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Конституционного Суда</w:t>
      </w:r>
    </w:p>
    <w:p w:rsidR="00EC5BEB" w:rsidRPr="0053695A" w:rsidRDefault="00EC5BEB" w:rsidP="0053695A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3A33F3" w:rsidRPr="0053695A" w:rsidRDefault="00EC5BEB" w:rsidP="00BA0344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53695A">
        <w:rPr>
          <w:rFonts w:ascii="Liberation Serif" w:hAnsi="Liberation Serif" w:cs="Liberation Serif"/>
          <w:sz w:val="24"/>
          <w:szCs w:val="24"/>
        </w:rPr>
        <w:t>В.Д.ЗОРЬКИН</w:t>
      </w:r>
      <w:bookmarkStart w:id="0" w:name="_GoBack"/>
      <w:bookmarkEnd w:id="0"/>
    </w:p>
    <w:sectPr w:rsidR="003A33F3" w:rsidRPr="0053695A" w:rsidSect="0053695A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BEB"/>
    <w:rsid w:val="003A33F3"/>
    <w:rsid w:val="0053695A"/>
    <w:rsid w:val="00BA0344"/>
    <w:rsid w:val="00EC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332B6-9377-46BF-8385-E289D4746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5B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C5BE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C5BE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A27456E0A3B2E04533DE0DF8C89646A48FE8B77FEDB62B216CC6EAD82941597711F581A9A8015CAE93A15A1472C795395C8EAD59F99e851D" TargetMode="External"/><Relationship Id="rId13" Type="http://schemas.openxmlformats.org/officeDocument/2006/relationships/hyperlink" Target="consultantplus://offline/ref=EA27456E0A3B2E04533DEDCC9989646A4CF68F73F58E35B0479960A88AC45D872D5A0D179A8008C1BC7553F448e25DD" TargetMode="External"/><Relationship Id="rId18" Type="http://schemas.openxmlformats.org/officeDocument/2006/relationships/hyperlink" Target="consultantplus://offline/ref=EA27456E0A3B2E04533DEDCC9989646A4CFF8574F08A35B0479960A88AC45D872D5A0D179A8008C1BC7553F448e25DD" TargetMode="External"/><Relationship Id="rId26" Type="http://schemas.openxmlformats.org/officeDocument/2006/relationships/hyperlink" Target="consultantplus://offline/ref=EA27456E0A3B2E04533DE0DF8C89646A4EF4897AF58A35B0479960A88AC45D873F5A551D9C8B4290F93E5CF64A30794C8BCBF4D5e95C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A27456E0A3B2E04533DE0DF8C89646A4EF78F77F78535B0479960A88AC45D873F5A551B988017C0BE6005A50E7B744F95D7F4D68199821Ce35DD" TargetMode="External"/><Relationship Id="rId7" Type="http://schemas.openxmlformats.org/officeDocument/2006/relationships/hyperlink" Target="consultantplus://offline/ref=EA27456E0A3B2E04533DE0DF8C89646A4EF78F77F78535B0479960A88AC45D873F5A551C988B4290F93E5CF64A30794C8BCBF4D5e95CD" TargetMode="External"/><Relationship Id="rId12" Type="http://schemas.openxmlformats.org/officeDocument/2006/relationships/hyperlink" Target="consultantplus://offline/ref=EA27456E0A3B2E04533DEDCC9989646A4FFE8B76F48E35B0479960A88AC45D872D5A0D179A8008C1BC7553F448e25DD" TargetMode="External"/><Relationship Id="rId17" Type="http://schemas.openxmlformats.org/officeDocument/2006/relationships/hyperlink" Target="consultantplus://offline/ref=EA27456E0A3B2E04533DEDCC9989646A4FF78D74F18935B0479960A88AC45D872D5A0D179A8008C1BC7553F448e25DD" TargetMode="External"/><Relationship Id="rId25" Type="http://schemas.openxmlformats.org/officeDocument/2006/relationships/hyperlink" Target="consultantplus://offline/ref=EA27456E0A3B2E04533DE0DF8C89646A4EF4897AF58A35B0479960A88AC45D873F5A551B988014C7BF6005A50E7B744F95D7F4D68199821Ce35D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A27456E0A3B2E04533DEDCC9989646A4FF68F71F68F35B0479960A88AC45D872D5A0D179A8008C1BC7553F448e25DD" TargetMode="External"/><Relationship Id="rId20" Type="http://schemas.openxmlformats.org/officeDocument/2006/relationships/hyperlink" Target="consultantplus://offline/ref=EA27456E0A3B2E04533DE0DF8C89646A4EF78C71F58B35B0479960A88AC45D873F5A551899851D95EC2F04F9482E674D94D7F6D79De958D" TargetMode="External"/><Relationship Id="rId29" Type="http://schemas.openxmlformats.org/officeDocument/2006/relationships/hyperlink" Target="consultantplus://offline/ref=EA27456E0A3B2E04533DE0DF8C89646A4EF4897AF58A35B0479960A88AC45D872D5A0D179A8008C1BC7553F448e25D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A27456E0A3B2E04533DE0DF8C89646A4EF78F77F78535B0479960A88AC45D873F5A551B988017C0BE6005A50E7B744F95D7F4D68199821Ce35DD" TargetMode="External"/><Relationship Id="rId11" Type="http://schemas.openxmlformats.org/officeDocument/2006/relationships/hyperlink" Target="consultantplus://offline/ref=EA27456E0A3B2E04533DEDCC9989646A4FF68F71F68F35B0479960A88AC45D872D5A0D179A8008C1BC7553F448e25DD" TargetMode="External"/><Relationship Id="rId24" Type="http://schemas.openxmlformats.org/officeDocument/2006/relationships/hyperlink" Target="consultantplus://offline/ref=EA27456E0A3B2E04533DE0DF8C89646A4EF4897AF58A35B0479960A88AC45D873F5A551B988016C0B86005A50E7B744F95D7F4D68199821Ce35DD" TargetMode="External"/><Relationship Id="rId5" Type="http://schemas.openxmlformats.org/officeDocument/2006/relationships/hyperlink" Target="consultantplus://offline/ref=EA27456E0A3B2E04533DE0DF8C89646A4EF78C71F58B35B0479960A88AC45D873F5A551899851D95EC2F04F9482E674D94D7F6D79De958D" TargetMode="External"/><Relationship Id="rId15" Type="http://schemas.openxmlformats.org/officeDocument/2006/relationships/hyperlink" Target="consultantplus://offline/ref=EA27456E0A3B2E04533DEDCC9989646A4EFE8E7BF68535B0479960A88AC45D872D5A0D179A8008C1BC7553F448e25DD" TargetMode="External"/><Relationship Id="rId23" Type="http://schemas.openxmlformats.org/officeDocument/2006/relationships/hyperlink" Target="consultantplus://offline/ref=EA27456E0A3B2E04533DE0DF8C89646A48FE8B77FEDB62B216CC6EAD82941597711F581A9D8410CAE93A15A1472C795395C8EAD59F99e851D" TargetMode="External"/><Relationship Id="rId28" Type="http://schemas.openxmlformats.org/officeDocument/2006/relationships/hyperlink" Target="consultantplus://offline/ref=EA27456E0A3B2E04533DE0DF8C89646A4EF4897AF58A35B0479960A88AC45D873F5A551B988011C9BB6005A50E7B744F95D7F4D68199821Ce35DD" TargetMode="External"/><Relationship Id="rId10" Type="http://schemas.openxmlformats.org/officeDocument/2006/relationships/hyperlink" Target="consultantplus://offline/ref=EA27456E0A3B2E04533DEDCC9989646A4FF0897AF58B35B0479960A88AC45D872D5A0D179A8008C1BC7553F448e25DD" TargetMode="External"/><Relationship Id="rId19" Type="http://schemas.openxmlformats.org/officeDocument/2006/relationships/hyperlink" Target="consultantplus://offline/ref=EA27456E0A3B2E04533DE0DF8C89646A4EF78C71F58B35B0479960A88AC45D873F5A551B988117C8BB6005A50E7B744F95D7F4D68199821Ce35DD" TargetMode="External"/><Relationship Id="rId31" Type="http://schemas.openxmlformats.org/officeDocument/2006/relationships/theme" Target="theme/theme1.xml"/><Relationship Id="rId4" Type="http://schemas.openxmlformats.org/officeDocument/2006/relationships/hyperlink" Target="consultantplus://offline/ref=EA27456E0A3B2E04533DE0DF8C89646A4EF78C71F58B35B0479960A88AC45D873F5A551B988117C8BB6005A50E7B744F95D7F4D68199821Ce35DD" TargetMode="External"/><Relationship Id="rId9" Type="http://schemas.openxmlformats.org/officeDocument/2006/relationships/hyperlink" Target="consultantplus://offline/ref=EA27456E0A3B2E04533DEDCC9989646A4EFE8E7BF68535B0479960A88AC45D872D5A0D179A8008C1BC7553F448e25DD" TargetMode="External"/><Relationship Id="rId14" Type="http://schemas.openxmlformats.org/officeDocument/2006/relationships/hyperlink" Target="consultantplus://offline/ref=EA27456E0A3B2E04533DE0DF8C89646A4EF78F77F78535B0479960A88AC45D872D5A0D179A8008C1BC7553F448e25DD" TargetMode="External"/><Relationship Id="rId22" Type="http://schemas.openxmlformats.org/officeDocument/2006/relationships/hyperlink" Target="consultantplus://offline/ref=EA27456E0A3B2E04533DE0DF8C89646A4EF78F77F78535B0479960A88AC45D872D5A0D179A8008C1BC7553F448e25DD" TargetMode="External"/><Relationship Id="rId27" Type="http://schemas.openxmlformats.org/officeDocument/2006/relationships/hyperlink" Target="consultantplus://offline/ref=EA27456E0A3B2E04533DE0DF8C89646A4EF4897AF58A35B0479960A88AC45D873F5A551B988011C9BE6005A50E7B744F95D7F4D68199821Ce35DD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1603</Words>
  <Characters>9139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3</cp:revision>
  <dcterms:created xsi:type="dcterms:W3CDTF">2023-01-20T03:57:00Z</dcterms:created>
  <dcterms:modified xsi:type="dcterms:W3CDTF">2023-01-20T06:10:00Z</dcterms:modified>
</cp:coreProperties>
</file>