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FC0" w:rsidRDefault="00C14FC0" w:rsidP="00152E02">
      <w:pPr>
        <w:pStyle w:val="3"/>
        <w:ind w:firstLine="0"/>
        <w:jc w:val="center"/>
        <w:rPr>
          <w:b/>
          <w:sz w:val="24"/>
          <w:szCs w:val="24"/>
        </w:rPr>
      </w:pPr>
    </w:p>
    <w:p w:rsidR="00F00C8F" w:rsidRDefault="00F00C8F" w:rsidP="00152E02">
      <w:pPr>
        <w:pStyle w:val="3"/>
        <w:ind w:firstLine="0"/>
        <w:jc w:val="center"/>
        <w:rPr>
          <w:b/>
          <w:sz w:val="24"/>
          <w:szCs w:val="24"/>
        </w:rPr>
      </w:pPr>
    </w:p>
    <w:p w:rsidR="00F00C8F" w:rsidRDefault="00F00C8F" w:rsidP="00152E02">
      <w:pPr>
        <w:pStyle w:val="3"/>
        <w:ind w:firstLine="0"/>
        <w:jc w:val="center"/>
        <w:rPr>
          <w:b/>
          <w:sz w:val="24"/>
          <w:szCs w:val="24"/>
        </w:rPr>
      </w:pPr>
    </w:p>
    <w:p w:rsidR="00500D70" w:rsidRDefault="00500D70" w:rsidP="00500D70">
      <w:pPr>
        <w:pStyle w:val="3"/>
        <w:ind w:firstLine="0"/>
        <w:jc w:val="center"/>
        <w:rPr>
          <w:b/>
          <w:sz w:val="24"/>
          <w:szCs w:val="24"/>
        </w:rPr>
      </w:pPr>
      <w:r w:rsidRPr="002440C6">
        <w:rPr>
          <w:b/>
          <w:sz w:val="24"/>
          <w:szCs w:val="24"/>
        </w:rPr>
        <w:t>Анализ письменных и устных обращений граждан</w:t>
      </w:r>
    </w:p>
    <w:p w:rsidR="00500D70" w:rsidRPr="00EC4F93" w:rsidRDefault="00500D70" w:rsidP="00500D70">
      <w:pPr>
        <w:pStyle w:val="3"/>
        <w:ind w:firstLine="0"/>
        <w:jc w:val="center"/>
        <w:rPr>
          <w:b/>
          <w:sz w:val="24"/>
          <w:szCs w:val="24"/>
        </w:rPr>
      </w:pPr>
    </w:p>
    <w:p w:rsidR="00500D70" w:rsidRPr="00E4644C" w:rsidRDefault="00500D70" w:rsidP="00500D70">
      <w:pPr>
        <w:pStyle w:val="2"/>
        <w:rPr>
          <w:szCs w:val="24"/>
        </w:rPr>
      </w:pPr>
      <w:r w:rsidRPr="00E4644C">
        <w:rPr>
          <w:szCs w:val="24"/>
        </w:rPr>
        <w:t>За период с 1</w:t>
      </w:r>
      <w:r w:rsidR="00EA6E40" w:rsidRPr="00E4644C">
        <w:rPr>
          <w:szCs w:val="24"/>
        </w:rPr>
        <w:t xml:space="preserve"> </w:t>
      </w:r>
      <w:r w:rsidRPr="00E4644C">
        <w:rPr>
          <w:szCs w:val="24"/>
        </w:rPr>
        <w:t xml:space="preserve">января 2022 года по </w:t>
      </w:r>
      <w:r w:rsidR="00626B46" w:rsidRPr="00E4644C">
        <w:rPr>
          <w:szCs w:val="24"/>
        </w:rPr>
        <w:t>31 декабря 2022</w:t>
      </w:r>
      <w:r w:rsidRPr="00E4644C">
        <w:rPr>
          <w:szCs w:val="24"/>
        </w:rPr>
        <w:t xml:space="preserve"> года в Управление социальной политики № 23 обратилось всего </w:t>
      </w:r>
      <w:r w:rsidR="00F70E41">
        <w:rPr>
          <w:szCs w:val="24"/>
        </w:rPr>
        <w:t>8260</w:t>
      </w:r>
      <w:r w:rsidRPr="00E4644C">
        <w:rPr>
          <w:szCs w:val="24"/>
        </w:rPr>
        <w:t xml:space="preserve"> человек, в т.ч.:</w:t>
      </w:r>
    </w:p>
    <w:p w:rsidR="00500D70" w:rsidRDefault="00500D70" w:rsidP="00500D70">
      <w:pPr>
        <w:pStyle w:val="2"/>
        <w:rPr>
          <w:szCs w:val="24"/>
        </w:rPr>
      </w:pPr>
      <w:r w:rsidRPr="00E4644C">
        <w:rPr>
          <w:szCs w:val="24"/>
        </w:rPr>
        <w:t xml:space="preserve">- </w:t>
      </w:r>
      <w:r w:rsidR="00C917D7">
        <w:rPr>
          <w:szCs w:val="24"/>
        </w:rPr>
        <w:t xml:space="preserve"> </w:t>
      </w:r>
      <w:r w:rsidRPr="00E4644C">
        <w:rPr>
          <w:szCs w:val="24"/>
        </w:rPr>
        <w:t xml:space="preserve">поступило </w:t>
      </w:r>
      <w:r w:rsidR="00626B46" w:rsidRPr="00E4644C">
        <w:rPr>
          <w:szCs w:val="24"/>
        </w:rPr>
        <w:t>401</w:t>
      </w:r>
      <w:r w:rsidRPr="00E4644C">
        <w:rPr>
          <w:szCs w:val="24"/>
        </w:rPr>
        <w:t xml:space="preserve"> письменн</w:t>
      </w:r>
      <w:r w:rsidR="00626B46" w:rsidRPr="00E4644C">
        <w:rPr>
          <w:szCs w:val="24"/>
        </w:rPr>
        <w:t>ое</w:t>
      </w:r>
      <w:r w:rsidRPr="00E4644C">
        <w:rPr>
          <w:szCs w:val="24"/>
        </w:rPr>
        <w:t xml:space="preserve"> обращени</w:t>
      </w:r>
      <w:r w:rsidR="00626B46" w:rsidRPr="00E4644C">
        <w:rPr>
          <w:szCs w:val="24"/>
        </w:rPr>
        <w:t>е</w:t>
      </w:r>
      <w:r w:rsidRPr="00E4644C">
        <w:rPr>
          <w:szCs w:val="24"/>
        </w:rPr>
        <w:t xml:space="preserve">, </w:t>
      </w:r>
    </w:p>
    <w:p w:rsidR="00F70E41" w:rsidRPr="00E4644C" w:rsidRDefault="00F70E41" w:rsidP="00500D70">
      <w:pPr>
        <w:pStyle w:val="2"/>
        <w:rPr>
          <w:szCs w:val="24"/>
        </w:rPr>
      </w:pPr>
      <w:r>
        <w:rPr>
          <w:szCs w:val="24"/>
        </w:rPr>
        <w:t xml:space="preserve">- поступило 292 сообщения </w:t>
      </w:r>
      <w:r w:rsidR="00C917D7">
        <w:rPr>
          <w:szCs w:val="24"/>
        </w:rPr>
        <w:t>от граждан с использованием платформы обратной связи федеральной государственной информационной системы «Единый портал государственных и муниципальных услуг (функций)»</w:t>
      </w:r>
      <w:r>
        <w:rPr>
          <w:szCs w:val="24"/>
        </w:rPr>
        <w:t>;</w:t>
      </w:r>
    </w:p>
    <w:p w:rsidR="00500D70" w:rsidRPr="00E4644C" w:rsidRDefault="00500D70" w:rsidP="00500D70">
      <w:pPr>
        <w:pStyle w:val="2"/>
        <w:rPr>
          <w:szCs w:val="24"/>
        </w:rPr>
      </w:pPr>
      <w:r w:rsidRPr="00E4644C">
        <w:rPr>
          <w:szCs w:val="24"/>
        </w:rPr>
        <w:t xml:space="preserve">- на устный прием обратилось </w:t>
      </w:r>
      <w:r w:rsidR="00E4644C" w:rsidRPr="00E4644C">
        <w:rPr>
          <w:szCs w:val="24"/>
        </w:rPr>
        <w:t>7567</w:t>
      </w:r>
      <w:r w:rsidR="00255843" w:rsidRPr="00E4644C">
        <w:rPr>
          <w:szCs w:val="24"/>
        </w:rPr>
        <w:t xml:space="preserve"> </w:t>
      </w:r>
      <w:r w:rsidRPr="00E4644C">
        <w:rPr>
          <w:szCs w:val="24"/>
        </w:rPr>
        <w:t>человека.</w:t>
      </w:r>
    </w:p>
    <w:p w:rsidR="00500D70" w:rsidRDefault="00500D70" w:rsidP="00500D70">
      <w:pPr>
        <w:spacing w:line="240" w:lineRule="auto"/>
        <w:ind w:left="12" w:firstLine="708"/>
        <w:contextualSpacing/>
        <w:jc w:val="both"/>
        <w:rPr>
          <w:rFonts w:ascii="Times New Roman" w:hAnsi="Times New Roman"/>
        </w:rPr>
      </w:pPr>
    </w:p>
    <w:p w:rsidR="00500D70" w:rsidRPr="00D20E4B" w:rsidRDefault="00500D70" w:rsidP="00500D70">
      <w:pPr>
        <w:spacing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D20E4B">
        <w:rPr>
          <w:rFonts w:ascii="Times New Roman" w:hAnsi="Times New Roman"/>
          <w:sz w:val="24"/>
          <w:szCs w:val="24"/>
        </w:rPr>
        <w:t>За отчетный период в Управление социальной политики № 23 жалоб и обращений от граждан и организаций о фактах совершения коррупционных правонарушений не поступало.</w:t>
      </w:r>
    </w:p>
    <w:p w:rsidR="00500D70" w:rsidRDefault="00500D70" w:rsidP="00500D70">
      <w:pPr>
        <w:spacing w:line="240" w:lineRule="auto"/>
        <w:ind w:left="12" w:firstLine="708"/>
        <w:contextualSpacing/>
        <w:jc w:val="both"/>
        <w:rPr>
          <w:rFonts w:ascii="Times New Roman" w:hAnsi="Times New Roman"/>
        </w:rPr>
      </w:pPr>
    </w:p>
    <w:p w:rsidR="00500D70" w:rsidRPr="00D20E4B" w:rsidRDefault="00500D70" w:rsidP="00500D70">
      <w:pPr>
        <w:spacing w:line="240" w:lineRule="auto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D20E4B">
        <w:rPr>
          <w:rFonts w:ascii="Times New Roman" w:hAnsi="Times New Roman"/>
          <w:b/>
          <w:sz w:val="24"/>
          <w:szCs w:val="24"/>
        </w:rPr>
        <w:t>1. ПИСЬМЕННЫЕ ОБРАЩЕНИЯ ГРАЖДАН</w:t>
      </w:r>
    </w:p>
    <w:p w:rsidR="00500D70" w:rsidRDefault="00500D70" w:rsidP="00500D70">
      <w:pPr>
        <w:spacing w:line="240" w:lineRule="auto"/>
        <w:ind w:firstLine="708"/>
        <w:contextualSpacing/>
        <w:jc w:val="both"/>
        <w:rPr>
          <w:rFonts w:ascii="Times New Roman" w:hAnsi="Times New Roman"/>
        </w:rPr>
      </w:pPr>
    </w:p>
    <w:p w:rsidR="00500D70" w:rsidRDefault="00500D70" w:rsidP="007B6893">
      <w:pPr>
        <w:spacing w:afterLines="10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rFonts w:ascii="Times New Roman" w:hAnsi="Times New Roman"/>
          <w:color w:val="000000"/>
          <w:sz w:val="24"/>
          <w:szCs w:val="24"/>
        </w:rPr>
        <w:t xml:space="preserve">Большинство </w:t>
      </w:r>
      <w:r>
        <w:rPr>
          <w:rFonts w:ascii="Times New Roman" w:hAnsi="Times New Roman"/>
          <w:color w:val="000000"/>
          <w:sz w:val="24"/>
          <w:szCs w:val="24"/>
        </w:rPr>
        <w:t xml:space="preserve">письменных 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обращений поступало </w:t>
      </w:r>
      <w:r>
        <w:rPr>
          <w:rFonts w:ascii="Times New Roman" w:hAnsi="Times New Roman"/>
          <w:color w:val="000000"/>
          <w:sz w:val="24"/>
          <w:szCs w:val="24"/>
        </w:rPr>
        <w:t>по вопросам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 назначения социальных выплат, обеспечения социальных гарантий и </w:t>
      </w:r>
      <w:r>
        <w:rPr>
          <w:rFonts w:ascii="Times New Roman" w:hAnsi="Times New Roman"/>
          <w:color w:val="000000"/>
          <w:sz w:val="24"/>
          <w:szCs w:val="24"/>
        </w:rPr>
        <w:t xml:space="preserve">вопросам </w:t>
      </w:r>
      <w:r w:rsidRPr="006E6D55">
        <w:rPr>
          <w:rFonts w:ascii="Times New Roman" w:hAnsi="Times New Roman"/>
          <w:color w:val="000000"/>
          <w:sz w:val="24"/>
          <w:szCs w:val="24"/>
        </w:rPr>
        <w:t>семейной политики и организации социального обслуживания граждан.</w:t>
      </w:r>
    </w:p>
    <w:p w:rsidR="00496BBB" w:rsidRDefault="00BF0900" w:rsidP="007B6893">
      <w:pPr>
        <w:spacing w:afterLines="10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rFonts w:ascii="Times New Roman" w:hAnsi="Times New Roman" w:cs="Times New Roman"/>
          <w:noProof/>
        </w:rPr>
        <w:drawing>
          <wp:inline distT="0" distB="0" distL="0" distR="0">
            <wp:extent cx="5038725" cy="2952750"/>
            <wp:effectExtent l="19050" t="0" r="9525" b="0"/>
            <wp:docPr id="1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D20E4B" w:rsidRPr="00D20E4B" w:rsidRDefault="00D20E4B" w:rsidP="00D20E4B">
      <w:pPr>
        <w:spacing w:line="240" w:lineRule="auto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D20E4B">
        <w:rPr>
          <w:rFonts w:ascii="Times New Roman" w:hAnsi="Times New Roman"/>
          <w:b/>
          <w:sz w:val="24"/>
          <w:szCs w:val="24"/>
        </w:rPr>
        <w:t>2. ПИСЬМЕННЫЕ СООБЩЕНИЯ ГРАЖДАН</w:t>
      </w:r>
    </w:p>
    <w:p w:rsidR="00D20E4B" w:rsidRPr="00D20E4B" w:rsidRDefault="00D20E4B" w:rsidP="007B6893">
      <w:pPr>
        <w:spacing w:afterLines="100" w:line="240" w:lineRule="auto"/>
        <w:ind w:firstLine="708"/>
        <w:jc w:val="both"/>
        <w:rPr>
          <w:rFonts w:ascii="Times New Roman" w:eastAsia="Times New Roman" w:hAnsi="Times New Roman"/>
          <w:noProof/>
          <w:sz w:val="2"/>
          <w:szCs w:val="2"/>
        </w:rPr>
      </w:pPr>
    </w:p>
    <w:p w:rsidR="00D20E4B" w:rsidRPr="00C917D7" w:rsidRDefault="00D20E4B" w:rsidP="00C917D7">
      <w:pPr>
        <w:spacing w:afterLines="100" w:line="240" w:lineRule="auto"/>
        <w:ind w:firstLine="709"/>
        <w:contextualSpacing/>
        <w:jc w:val="both"/>
        <w:rPr>
          <w:rFonts w:ascii="Liberation Serif" w:eastAsia="Times New Roman" w:hAnsi="Liberation Serif"/>
          <w:noProof/>
          <w:sz w:val="24"/>
          <w:szCs w:val="24"/>
        </w:rPr>
      </w:pPr>
      <w:r w:rsidRPr="00C917D7">
        <w:rPr>
          <w:rFonts w:ascii="Liberation Serif" w:eastAsia="Times New Roman" w:hAnsi="Liberation Serif"/>
          <w:noProof/>
          <w:sz w:val="24"/>
          <w:szCs w:val="24"/>
        </w:rPr>
        <w:t xml:space="preserve">Всего </w:t>
      </w:r>
      <w:r w:rsidR="00C917D7" w:rsidRPr="00C917D7">
        <w:rPr>
          <w:rFonts w:ascii="Liberation Serif" w:hAnsi="Liberation Serif"/>
          <w:sz w:val="24"/>
          <w:szCs w:val="24"/>
        </w:rPr>
        <w:t>с использованием платформы обратной связи федеральной государственной информационной системы «Единый портал государственных и муниципальных услуг (функций)»</w:t>
      </w:r>
      <w:r w:rsidR="00C917D7">
        <w:rPr>
          <w:rFonts w:ascii="Liberation Serif" w:hAnsi="Liberation Serif"/>
          <w:sz w:val="24"/>
          <w:szCs w:val="24"/>
        </w:rPr>
        <w:t xml:space="preserve"> </w:t>
      </w:r>
      <w:r w:rsidRPr="00C917D7">
        <w:rPr>
          <w:rFonts w:ascii="Liberation Serif" w:eastAsia="Times New Roman" w:hAnsi="Liberation Serif"/>
          <w:noProof/>
          <w:sz w:val="24"/>
          <w:szCs w:val="24"/>
        </w:rPr>
        <w:t>поступило 292 сообщения. Большинство собщений поступало по вопросам назначения (отказа в назанчении) ежемесячной денежной выплаты на детей в врзрасте от 3 до 7 лет.</w:t>
      </w:r>
    </w:p>
    <w:p w:rsidR="00496BBB" w:rsidRPr="00D20E4B" w:rsidRDefault="00D20E4B" w:rsidP="007B6893">
      <w:pPr>
        <w:spacing w:afterLines="100" w:line="240" w:lineRule="auto"/>
        <w:ind w:firstLine="708"/>
        <w:jc w:val="both"/>
        <w:rPr>
          <w:rFonts w:ascii="Times New Roman" w:eastAsia="Times New Roman" w:hAnsi="Times New Roman"/>
          <w:b/>
          <w:noProof/>
        </w:rPr>
      </w:pPr>
      <w:r w:rsidRPr="00D20E4B">
        <w:rPr>
          <w:rFonts w:ascii="Times New Roman" w:eastAsia="Times New Roman" w:hAnsi="Times New Roman"/>
          <w:b/>
          <w:noProof/>
        </w:rPr>
        <w:t xml:space="preserve">ОСНОВНЫЕ ИСТОЧНИКИ ПОСТУПЛЕНИЯ ОБРАЩЕНИЙ (СООБЩЕНИЙ): </w:t>
      </w:r>
    </w:p>
    <w:p w:rsidR="006E6D55" w:rsidRDefault="00496BBB" w:rsidP="006E6D55">
      <w:pPr>
        <w:spacing w:line="240" w:lineRule="auto"/>
        <w:ind w:firstLine="708"/>
        <w:contextualSpacing/>
        <w:jc w:val="both"/>
      </w:pPr>
      <w:r w:rsidRPr="006E6D55">
        <w:rPr>
          <w:rFonts w:ascii="Times New Roman" w:hAnsi="Times New Roman" w:cs="Times New Roman"/>
          <w:noProof/>
        </w:rPr>
        <w:drawing>
          <wp:inline distT="0" distB="0" distL="0" distR="0">
            <wp:extent cx="4835430" cy="1746913"/>
            <wp:effectExtent l="19050" t="0" r="22320" b="5687"/>
            <wp:docPr id="5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AC30D4" w:rsidRDefault="00AC30D4" w:rsidP="00AC30D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p w:rsidR="006E6D55" w:rsidRPr="00F00C8F" w:rsidRDefault="00C917D7" w:rsidP="00C917D7">
      <w:pPr>
        <w:tabs>
          <w:tab w:val="left" w:pos="1644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</w:rPr>
        <w:tab/>
        <w:t>3</w:t>
      </w:r>
      <w:r w:rsidR="00F00C8F" w:rsidRPr="00F00C8F">
        <w:rPr>
          <w:rFonts w:ascii="Times New Roman" w:eastAsia="Times New Roman" w:hAnsi="Times New Roman"/>
          <w:b/>
          <w:noProof/>
          <w:sz w:val="24"/>
          <w:szCs w:val="24"/>
        </w:rPr>
        <w:t>. УСТНЫЕ ОБРАЩЕНИЯ ГРАЖДАН</w:t>
      </w:r>
    </w:p>
    <w:p w:rsidR="006E6D55" w:rsidRDefault="00D20E4B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-107950</wp:posOffset>
            </wp:positionH>
            <wp:positionV relativeFrom="margin">
              <wp:posOffset>581025</wp:posOffset>
            </wp:positionV>
            <wp:extent cx="6541135" cy="7241540"/>
            <wp:effectExtent l="19050" t="0" r="12065" b="0"/>
            <wp:wrapTopAndBottom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anchor>
        </w:drawing>
      </w:r>
    </w:p>
    <w:p w:rsidR="00D20E4B" w:rsidRDefault="00D20E4B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</w:p>
    <w:p w:rsidR="006E6D55" w:rsidRDefault="006E6D55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E4644C" w:rsidRPr="00827A34" w:rsidRDefault="00E4644C" w:rsidP="00E4644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 назначении </w:t>
      </w:r>
      <w:r w:rsidRPr="00827A34">
        <w:rPr>
          <w:rFonts w:ascii="Times New Roman" w:hAnsi="Times New Roman" w:cs="Times New Roman"/>
        </w:rPr>
        <w:t>и выплат</w:t>
      </w:r>
      <w:r>
        <w:rPr>
          <w:rFonts w:ascii="Times New Roman" w:hAnsi="Times New Roman" w:cs="Times New Roman"/>
        </w:rPr>
        <w:t>е</w:t>
      </w:r>
      <w:r w:rsidRPr="00827A34">
        <w:rPr>
          <w:rFonts w:ascii="Times New Roman" w:hAnsi="Times New Roman" w:cs="Times New Roman"/>
        </w:rPr>
        <w:t xml:space="preserve"> пособий и компенсаций</w:t>
      </w:r>
      <w:r>
        <w:rPr>
          <w:rFonts w:ascii="Times New Roman" w:hAnsi="Times New Roman" w:cs="Times New Roman"/>
        </w:rPr>
        <w:t>;</w:t>
      </w:r>
    </w:p>
    <w:p w:rsidR="006E6D55" w:rsidRPr="00827A34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о предоставлении мер социальной поддержки;</w:t>
      </w:r>
    </w:p>
    <w:p w:rsidR="006E6D55" w:rsidRPr="00827A34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</w:t>
      </w:r>
      <w:r>
        <w:rPr>
          <w:rFonts w:ascii="Times New Roman" w:hAnsi="Times New Roman" w:cs="Times New Roman"/>
        </w:rPr>
        <w:t>присвоении звания «Ветерана труда»</w:t>
      </w:r>
      <w:r w:rsidRPr="00827A34">
        <w:rPr>
          <w:rFonts w:ascii="Times New Roman" w:hAnsi="Times New Roman" w:cs="Times New Roman"/>
        </w:rPr>
        <w:t>;</w:t>
      </w:r>
    </w:p>
    <w:p w:rsidR="006E6D55" w:rsidRDefault="006E6D55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</w:p>
    <w:p w:rsidR="006E6D55" w:rsidRDefault="006E6D55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Все обращения рассмотрены в установленный законодательством срок, </w:t>
      </w:r>
      <w:r w:rsidR="00E67554">
        <w:rPr>
          <w:rFonts w:ascii="Times New Roman" w:hAnsi="Times New Roman" w:cs="Times New Roman"/>
        </w:rPr>
        <w:t>имеется одна обоснованная жалоба .</w:t>
      </w:r>
    </w:p>
    <w:p w:rsidR="006E6D55" w:rsidRDefault="006E6D55" w:rsidP="006E6D5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p w:rsidR="009355D2" w:rsidRDefault="009355D2" w:rsidP="009355D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sectPr w:rsidR="009355D2" w:rsidSect="00496BBB">
      <w:pgSz w:w="11906" w:h="16838"/>
      <w:pgMar w:top="567" w:right="849" w:bottom="142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152E02"/>
    <w:rsid w:val="000258B5"/>
    <w:rsid w:val="00026E2A"/>
    <w:rsid w:val="00075B5A"/>
    <w:rsid w:val="000828FC"/>
    <w:rsid w:val="00086662"/>
    <w:rsid w:val="0009600A"/>
    <w:rsid w:val="000973E4"/>
    <w:rsid w:val="000D6E16"/>
    <w:rsid w:val="000E418F"/>
    <w:rsid w:val="000E5664"/>
    <w:rsid w:val="00117D62"/>
    <w:rsid w:val="00123AE6"/>
    <w:rsid w:val="00150F5F"/>
    <w:rsid w:val="00152E02"/>
    <w:rsid w:val="0015599C"/>
    <w:rsid w:val="00162C85"/>
    <w:rsid w:val="00165627"/>
    <w:rsid w:val="001907E1"/>
    <w:rsid w:val="001A71B0"/>
    <w:rsid w:val="001F74BC"/>
    <w:rsid w:val="00212B44"/>
    <w:rsid w:val="00255843"/>
    <w:rsid w:val="0026300D"/>
    <w:rsid w:val="00265BE8"/>
    <w:rsid w:val="002670A4"/>
    <w:rsid w:val="00280D81"/>
    <w:rsid w:val="00281E92"/>
    <w:rsid w:val="00290FD0"/>
    <w:rsid w:val="002B5D8E"/>
    <w:rsid w:val="002C21A9"/>
    <w:rsid w:val="0032000B"/>
    <w:rsid w:val="003343A2"/>
    <w:rsid w:val="00342A9B"/>
    <w:rsid w:val="00347081"/>
    <w:rsid w:val="00351ED3"/>
    <w:rsid w:val="0035643E"/>
    <w:rsid w:val="00396CE9"/>
    <w:rsid w:val="003C1F6E"/>
    <w:rsid w:val="003D2303"/>
    <w:rsid w:val="003E6D89"/>
    <w:rsid w:val="003F4EB8"/>
    <w:rsid w:val="00422A30"/>
    <w:rsid w:val="004478E8"/>
    <w:rsid w:val="00450104"/>
    <w:rsid w:val="00453786"/>
    <w:rsid w:val="004611FD"/>
    <w:rsid w:val="0046378C"/>
    <w:rsid w:val="00480F65"/>
    <w:rsid w:val="0048361A"/>
    <w:rsid w:val="00496BBB"/>
    <w:rsid w:val="004D706D"/>
    <w:rsid w:val="004E3CDE"/>
    <w:rsid w:val="00500D70"/>
    <w:rsid w:val="00505DDD"/>
    <w:rsid w:val="0052322E"/>
    <w:rsid w:val="0053172A"/>
    <w:rsid w:val="00564B50"/>
    <w:rsid w:val="0059196B"/>
    <w:rsid w:val="00592AE9"/>
    <w:rsid w:val="005966E1"/>
    <w:rsid w:val="005973EC"/>
    <w:rsid w:val="005C2FFC"/>
    <w:rsid w:val="005E154E"/>
    <w:rsid w:val="00626B46"/>
    <w:rsid w:val="00632E7B"/>
    <w:rsid w:val="006371C5"/>
    <w:rsid w:val="00644C59"/>
    <w:rsid w:val="006547F4"/>
    <w:rsid w:val="00672322"/>
    <w:rsid w:val="0069476B"/>
    <w:rsid w:val="006B2F6A"/>
    <w:rsid w:val="006C23AE"/>
    <w:rsid w:val="006C49D9"/>
    <w:rsid w:val="006D3FA5"/>
    <w:rsid w:val="006E6D55"/>
    <w:rsid w:val="007035B8"/>
    <w:rsid w:val="00705134"/>
    <w:rsid w:val="00723785"/>
    <w:rsid w:val="007A0F47"/>
    <w:rsid w:val="007B2A2C"/>
    <w:rsid w:val="007B5C58"/>
    <w:rsid w:val="007B6893"/>
    <w:rsid w:val="007C6561"/>
    <w:rsid w:val="007E0393"/>
    <w:rsid w:val="00820249"/>
    <w:rsid w:val="00837BDC"/>
    <w:rsid w:val="00861CDB"/>
    <w:rsid w:val="00884EEC"/>
    <w:rsid w:val="008857BA"/>
    <w:rsid w:val="008D2E48"/>
    <w:rsid w:val="00913A55"/>
    <w:rsid w:val="00920D03"/>
    <w:rsid w:val="00923330"/>
    <w:rsid w:val="00926271"/>
    <w:rsid w:val="00930B67"/>
    <w:rsid w:val="00932554"/>
    <w:rsid w:val="00935156"/>
    <w:rsid w:val="009355D2"/>
    <w:rsid w:val="0095385B"/>
    <w:rsid w:val="0096177B"/>
    <w:rsid w:val="009966AA"/>
    <w:rsid w:val="009D0EDE"/>
    <w:rsid w:val="009D4B7A"/>
    <w:rsid w:val="009E0242"/>
    <w:rsid w:val="00A31F33"/>
    <w:rsid w:val="00A33F96"/>
    <w:rsid w:val="00A41FEE"/>
    <w:rsid w:val="00A95862"/>
    <w:rsid w:val="00A96709"/>
    <w:rsid w:val="00AB574E"/>
    <w:rsid w:val="00AC30D4"/>
    <w:rsid w:val="00AC55B6"/>
    <w:rsid w:val="00AC6A46"/>
    <w:rsid w:val="00AC701C"/>
    <w:rsid w:val="00AE1ED0"/>
    <w:rsid w:val="00AE43DD"/>
    <w:rsid w:val="00AE5740"/>
    <w:rsid w:val="00AF2A25"/>
    <w:rsid w:val="00B0466D"/>
    <w:rsid w:val="00B11C13"/>
    <w:rsid w:val="00B14C35"/>
    <w:rsid w:val="00B22AFF"/>
    <w:rsid w:val="00B37C12"/>
    <w:rsid w:val="00B60F3D"/>
    <w:rsid w:val="00B81830"/>
    <w:rsid w:val="00BF009B"/>
    <w:rsid w:val="00BF0900"/>
    <w:rsid w:val="00BF1893"/>
    <w:rsid w:val="00BF28A6"/>
    <w:rsid w:val="00BF651F"/>
    <w:rsid w:val="00C00D55"/>
    <w:rsid w:val="00C06002"/>
    <w:rsid w:val="00C14FC0"/>
    <w:rsid w:val="00C21A9B"/>
    <w:rsid w:val="00C31547"/>
    <w:rsid w:val="00C33069"/>
    <w:rsid w:val="00C917D7"/>
    <w:rsid w:val="00CA4D2E"/>
    <w:rsid w:val="00CF069D"/>
    <w:rsid w:val="00D20E4B"/>
    <w:rsid w:val="00D85C60"/>
    <w:rsid w:val="00DA0E3F"/>
    <w:rsid w:val="00DB5D3C"/>
    <w:rsid w:val="00DC61C4"/>
    <w:rsid w:val="00E04A7D"/>
    <w:rsid w:val="00E05073"/>
    <w:rsid w:val="00E4644C"/>
    <w:rsid w:val="00E63E4A"/>
    <w:rsid w:val="00E67554"/>
    <w:rsid w:val="00E92F13"/>
    <w:rsid w:val="00EA6E40"/>
    <w:rsid w:val="00EB0AA3"/>
    <w:rsid w:val="00EC3484"/>
    <w:rsid w:val="00F00C8F"/>
    <w:rsid w:val="00F32001"/>
    <w:rsid w:val="00F36F07"/>
    <w:rsid w:val="00F638FE"/>
    <w:rsid w:val="00F70E41"/>
    <w:rsid w:val="00F85111"/>
    <w:rsid w:val="00F971DD"/>
    <w:rsid w:val="00FA15CA"/>
    <w:rsid w:val="00FB009A"/>
    <w:rsid w:val="00FC31AB"/>
    <w:rsid w:val="00FC616F"/>
    <w:rsid w:val="00FC7F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F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152E02"/>
    <w:rPr>
      <w:rFonts w:ascii="Times New Roman" w:eastAsia="Times New Roman" w:hAnsi="Times New Roman" w:cs="Times New Roman"/>
      <w:iCs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152E02"/>
    <w:rPr>
      <w:rFonts w:ascii="Times New Roman" w:eastAsia="Times New Roman" w:hAnsi="Times New Roman" w:cs="Times New Roman"/>
      <w:iCs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6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D55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152E02"/>
    <w:rPr>
      <w:rFonts w:ascii="Times New Roman" w:eastAsia="Times New Roman" w:hAnsi="Times New Roman" w:cs="Times New Roman"/>
      <w:iCs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152E02"/>
    <w:rPr>
      <w:rFonts w:ascii="Times New Roman" w:eastAsia="Times New Roman" w:hAnsi="Times New Roman" w:cs="Times New Roman"/>
      <w:iCs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6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D5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</c:spPr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ru-RU"/>
                      <a:t>139</a:t>
                    </a:r>
                    <a:endParaRPr lang="en-US"/>
                  </a:p>
                </c:rich>
              </c:tx>
              <c:showVal val="1"/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ru-RU"/>
                      <a:t>123</a:t>
                    </a:r>
                    <a:endParaRPr lang="en-US"/>
                  </a:p>
                </c:rich>
              </c:tx>
              <c:showVal val="1"/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ru-RU"/>
                      <a:t>73</a:t>
                    </a:r>
                    <a:endParaRPr lang="en-US"/>
                  </a:p>
                </c:rich>
              </c:tx>
              <c:showVal val="1"/>
            </c:dLbl>
            <c:dLbl>
              <c:idx val="3"/>
              <c:layout/>
              <c:tx>
                <c:rich>
                  <a:bodyPr/>
                  <a:lstStyle/>
                  <a:p>
                    <a:r>
                      <a:rPr lang="ru-RU"/>
                      <a:t>12</a:t>
                    </a:r>
                    <a:endParaRPr lang="en-US"/>
                  </a:p>
                </c:rich>
              </c:tx>
              <c:showVal val="1"/>
            </c:dLbl>
            <c:dLbl>
              <c:idx val="4"/>
              <c:layout/>
              <c:tx>
                <c:rich>
                  <a:bodyPr/>
                  <a:lstStyle/>
                  <a:p>
                    <a:r>
                      <a:rPr lang="ru-RU"/>
                      <a:t>4</a:t>
                    </a:r>
                    <a:endParaRPr lang="en-US"/>
                  </a:p>
                </c:rich>
              </c:tx>
              <c:showVal val="1"/>
            </c:dLbl>
            <c:dLbl>
              <c:idx val="5"/>
              <c:layout>
                <c:manualLayout>
                  <c:x val="3.780718336483934E-2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47</a:t>
                    </a:r>
                    <a:endParaRPr lang="en-US"/>
                  </a:p>
                </c:rich>
              </c:tx>
              <c:showVal val="1"/>
            </c:dLbl>
            <c:dLbl>
              <c:idx val="6"/>
              <c:layout/>
              <c:tx>
                <c:rich>
                  <a:bodyPr/>
                  <a:lstStyle/>
                  <a:p>
                    <a:r>
                      <a:rPr lang="ru-RU"/>
                      <a:t>3</a:t>
                    </a:r>
                    <a:endParaRPr lang="en-US"/>
                  </a:p>
                </c:rich>
              </c:tx>
              <c:showVal val="1"/>
            </c:dLbl>
            <c:showVal val="1"/>
          </c:dLbls>
          <c:cat>
            <c:strRef>
              <c:f>Лист1!$A$2:$A$8</c:f>
              <c:strCache>
                <c:ptCount val="7"/>
                <c:pt idx="0">
                  <c:v>Отдел назанчения социальных выплат</c:v>
                </c:pt>
                <c:pt idx="1">
                  <c:v>Отдел обеспечения социальных гарантий</c:v>
                </c:pt>
                <c:pt idx="2">
                  <c:v>Отдел семейной политики и организации социального обслуживания граждан</c:v>
                </c:pt>
                <c:pt idx="3">
                  <c:v>Отдел по выявлению и устройству граждан</c:v>
                </c:pt>
                <c:pt idx="4">
                  <c:v>Отдел юридической и кадровой службы</c:v>
                </c:pt>
                <c:pt idx="5">
                  <c:v>Отдел по защите прав граждан</c:v>
                </c:pt>
                <c:pt idx="6">
                  <c:v>Руководство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139</c:v>
                </c:pt>
                <c:pt idx="1">
                  <c:v>123</c:v>
                </c:pt>
                <c:pt idx="2">
                  <c:v>73</c:v>
                </c:pt>
                <c:pt idx="3">
                  <c:v>12</c:v>
                </c:pt>
                <c:pt idx="4">
                  <c:v>4</c:v>
                </c:pt>
                <c:pt idx="5">
                  <c:v>47</c:v>
                </c:pt>
                <c:pt idx="6">
                  <c:v>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DEC-43D1-89F1-FADE13D30328}"/>
            </c:ext>
          </c:extLst>
        </c:ser>
        <c:gapWidth val="219"/>
        <c:axId val="143503744"/>
        <c:axId val="143505280"/>
      </c:barChart>
      <c:catAx>
        <c:axId val="143503744"/>
        <c:scaling>
          <c:orientation val="minMax"/>
        </c:scaling>
        <c:axPos val="l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3505280"/>
        <c:crosses val="autoZero"/>
        <c:auto val="1"/>
        <c:lblAlgn val="ctr"/>
        <c:lblOffset val="100"/>
      </c:catAx>
      <c:valAx>
        <c:axId val="143505280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35037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</c:spPr>
          <c:dLbls>
            <c:showVal val="1"/>
          </c:dLbls>
          <c:cat>
            <c:strRef>
              <c:f>Лист1!$A$2:$A$4</c:f>
              <c:strCache>
                <c:ptCount val="3"/>
                <c:pt idx="0">
                  <c:v>из других организаций</c:v>
                </c:pt>
                <c:pt idx="1">
                  <c:v>Обращения граждан с электронных ресурсов</c:v>
                </c:pt>
                <c:pt idx="2">
                  <c:v>Обращения граждан лично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171</c:v>
                </c:pt>
                <c:pt idx="1">
                  <c:v>400</c:v>
                </c:pt>
                <c:pt idx="2">
                  <c:v>122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DEC-43D1-89F1-FADE13D30328}"/>
            </c:ext>
          </c:extLst>
        </c:ser>
        <c:gapWidth val="219"/>
        <c:axId val="144107776"/>
        <c:axId val="144318464"/>
      </c:barChart>
      <c:catAx>
        <c:axId val="144107776"/>
        <c:scaling>
          <c:orientation val="minMax"/>
        </c:scaling>
        <c:axPos val="l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4318464"/>
        <c:crosses val="autoZero"/>
        <c:auto val="1"/>
        <c:lblAlgn val="ctr"/>
        <c:lblOffset val="100"/>
      </c:catAx>
      <c:valAx>
        <c:axId val="144318464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41077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количество</a:t>
            </a:r>
            <a:r>
              <a:rPr lang="ru-RU" baseline="0"/>
              <a:t> устных обращений</a:t>
            </a:r>
            <a:endParaRPr lang="ru-RU"/>
          </a:p>
        </c:rich>
      </c:tx>
      <c:layout/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26399314668999679"/>
          <c:y val="0.14718253968253969"/>
          <c:w val="0.49747685185185325"/>
          <c:h val="0.85281746031746031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 обращений</c:v>
                </c:pt>
              </c:strCache>
            </c:strRef>
          </c:tx>
          <c:dPt>
            <c:idx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</c:dPt>
          <c:dPt>
            <c:idx val="1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E-5B91-4C59-B85F-9E9249B1B68F}"/>
              </c:ext>
            </c:extLst>
          </c:dPt>
          <c:dPt>
            <c:idx val="2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</c:dPt>
          <c:dPt>
            <c:idx val="3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</c:dPt>
          <c:dPt>
            <c:idx val="4"/>
            <c:spPr>
              <a:solidFill>
                <a:schemeClr val="accent5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</c:dPt>
          <c:dPt>
            <c:idx val="5"/>
            <c:spPr>
              <a:solidFill>
                <a:schemeClr val="accent6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5B91-4C59-B85F-9E9249B1B68F}"/>
              </c:ext>
            </c:extLst>
          </c:dPt>
          <c:dPt>
            <c:idx val="6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5B91-4C59-B85F-9E9249B1B68F}"/>
              </c:ext>
            </c:extLst>
          </c:dPt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ru-RU"/>
                      <a:t>25,7</a:t>
                    </a:r>
                    <a:r>
                      <a:rPr lang="en-US"/>
                      <a:t>%</a:t>
                    </a:r>
                  </a:p>
                </c:rich>
              </c:tx>
              <c:dLblPos val="inEnd"/>
              <c:showPercent val="1"/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ru-RU"/>
                      <a:t>24,5</a:t>
                    </a:r>
                    <a:r>
                      <a:rPr lang="en-US"/>
                      <a:t>%</a:t>
                    </a:r>
                  </a:p>
                </c:rich>
              </c:tx>
              <c:dLblPos val="inEnd"/>
              <c:showPercent val="1"/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ru-RU"/>
                      <a:t>25,2</a:t>
                    </a:r>
                    <a:r>
                      <a:rPr lang="en-US"/>
                      <a:t>%</a:t>
                    </a:r>
                  </a:p>
                </c:rich>
              </c:tx>
              <c:dLblPos val="inEnd"/>
              <c:showPercent val="1"/>
            </c:dLbl>
            <c:dLbl>
              <c:idx val="3"/>
              <c:layout/>
              <c:tx>
                <c:rich>
                  <a:bodyPr/>
                  <a:lstStyle/>
                  <a:p>
                    <a:r>
                      <a:rPr lang="ru-RU"/>
                      <a:t>15,1%</a:t>
                    </a:r>
                    <a:endParaRPr lang="en-US"/>
                  </a:p>
                </c:rich>
              </c:tx>
              <c:dLblPos val="inEnd"/>
              <c:showPercent val="1"/>
            </c:dLbl>
            <c:dLbl>
              <c:idx val="4"/>
              <c:layout/>
              <c:tx>
                <c:rich>
                  <a:bodyPr/>
                  <a:lstStyle/>
                  <a:p>
                    <a:r>
                      <a:rPr lang="ru-RU"/>
                      <a:t>7,7</a:t>
                    </a:r>
                    <a:r>
                      <a:rPr lang="en-US"/>
                      <a:t>%</a:t>
                    </a:r>
                  </a:p>
                </c:rich>
              </c:tx>
              <c:dLblPos val="inEnd"/>
              <c:showPercent val="1"/>
            </c:dLbl>
            <c:dLbl>
              <c:idx val="5"/>
              <c:layout/>
              <c:tx>
                <c:rich>
                  <a:bodyPr/>
                  <a:lstStyle/>
                  <a:p>
                    <a:r>
                      <a:rPr lang="ru-RU"/>
                      <a:t>1,2</a:t>
                    </a:r>
                    <a:r>
                      <a:rPr lang="en-US"/>
                      <a:t>%</a:t>
                    </a:r>
                  </a:p>
                </c:rich>
              </c:tx>
              <c:dLblPos val="inEnd"/>
              <c:showPercent val="1"/>
            </c:dLbl>
            <c:dLbl>
              <c:idx val="6"/>
              <c:layout>
                <c:manualLayout>
                  <c:x val="5.7027316029939984E-3"/>
                  <c:y val="6.8309083225749023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0,6</a:t>
                    </a:r>
                    <a:r>
                      <a:rPr lang="en-US"/>
                      <a:t>%</a:t>
                    </a:r>
                  </a:p>
                </c:rich>
              </c:tx>
              <c:dLblPos val="bestFit"/>
              <c:showPercent val="1"/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Percent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Лист1!$A$2:$A$8</c:f>
              <c:strCache>
                <c:ptCount val="7"/>
                <c:pt idx="0">
                  <c:v>Отдел обеспечения социальных гарантий                                                                                                                                   1950 (25,7%)</c:v>
                </c:pt>
                <c:pt idx="1">
                  <c:v>Отдел назначения социальных выплат                                                                                                                                         1851 (24,5%)</c:v>
                </c:pt>
                <c:pt idx="2">
                  <c:v>Отдел семейной политики и организации социального обслуживания граждан                                                             1907 (25,2%)</c:v>
                </c:pt>
                <c:pt idx="3">
                  <c:v>Отдел по выявлению граждан, нуждающихся в опеке и попечительстве, надзору за опекунами и попечителями 1140 (15,1%)</c:v>
                </c:pt>
                <c:pt idx="4">
                  <c:v>Отдел по защите прав граждан, находящихся под опекой и попечительством                                                                       582 (7.7%)</c:v>
                </c:pt>
                <c:pt idx="5">
                  <c:v>Руководство                                                                                                                                                                                                   90(1,2%)</c:v>
                </c:pt>
                <c:pt idx="6">
                  <c:v>Отдел юридической и кадровой службы                                                                                                                                               47 (0,6%)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1950</c:v>
                </c:pt>
                <c:pt idx="1">
                  <c:v>1851</c:v>
                </c:pt>
                <c:pt idx="2">
                  <c:v>1907</c:v>
                </c:pt>
                <c:pt idx="3">
                  <c:v>1140</c:v>
                </c:pt>
                <c:pt idx="4">
                  <c:v>582</c:v>
                </c:pt>
                <c:pt idx="5">
                  <c:v>90</c:v>
                </c:pt>
                <c:pt idx="6">
                  <c:v>47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B91-4C59-B85F-9E9249B1B68F}"/>
            </c:ext>
          </c:extLst>
        </c:ser>
        <c:dLbls>
          <c:showPercent val="1"/>
        </c:dLbls>
        <c:firstSliceAng val="0"/>
        <c:extLst xmlns:c16r2="http://schemas.microsoft.com/office/drawing/2015/06/chart">
          <c:ext xmlns:c15="http://schemas.microsoft.com/office/drawing/2012/chart" uri="{02D57815-91ED-43cb-92C2-25804820EDAC}">
            <c15:filteredPie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Лист1!$B$3:$B$9</c15:sqref>
                        </c15:formulaRef>
                      </c:ext>
                    </c:extLst>
                    <c:strCache>
                      <c:ptCount val="7"/>
                      <c:pt idx="0">
                        <c:v>733</c:v>
                      </c:pt>
                      <c:pt idx="1">
                        <c:v>645</c:v>
                      </c:pt>
                      <c:pt idx="2">
                        <c:v>359</c:v>
                      </c:pt>
                      <c:pt idx="3">
                        <c:v>299</c:v>
                      </c:pt>
                      <c:pt idx="4">
                        <c:v>114</c:v>
                      </c:pt>
                      <c:pt idx="5">
                        <c:v>30</c:v>
                      </c:pt>
                      <c:pt idx="6">
                        <c:v>14</c:v>
                      </c:pt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1"/>
                    </a:solidFill>
                    <a:ln>
                      <a:noFill/>
                    </a:ln>
                    <a:effectLst/>
                    <a:scene3d>
                      <a:camera prst="orthographicFront"/>
                      <a:lightRig rig="brightRoom" dir="t"/>
                    </a:scene3d>
                    <a:sp3d prstMaterial="flat">
                      <a:bevelT w="50800" h="101600" prst="angle"/>
                      <a:contourClr>
                        <a:srgbClr val="000000"/>
                      </a:contourClr>
                    </a:sp3d>
                  </c:spPr>
                </c:dPt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1" i="0" u="none" strike="noStrike" kern="1200" baseline="0">
                          <a:solidFill>
                            <a:schemeClr val="lt1"/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ru-RU"/>
                    </a:p>
                  </c:txPr>
                  <c:dLblPos val="inEnd"/>
                  <c:showLegendKey val="0"/>
                  <c:showVal val="0"/>
                  <c:showCatName val="0"/>
                  <c:showSerName val="0"/>
                  <c:showPercent val="1"/>
                  <c:showBubbleSize val="0"/>
                  <c:showLeaderLines val="1"/>
                  <c:leaderLines>
                    <c:spPr>
                      <a:ln w="9525" cap="flat" cmpd="sng" algn="ctr">
                        <a:solidFill>
                          <a:schemeClr val="tx1">
                            <a:lumMod val="35000"/>
                            <a:lumOff val="65000"/>
                          </a:schemeClr>
                        </a:solidFill>
                        <a:round/>
                      </a:ln>
                      <a:effectLst/>
                    </c:spPr>
                  </c:leaderLines>
                  <c:extLst>
                    <c:ext uri="{CE6537A1-D6FC-4f65-9D91-7224C49458BB}">
                      <c15:layout/>
                    </c:ext>
                  </c:extLst>
                </c:dLbls>
                <c:val>
                  <c:numLit>
                    <c:formatCode>General</c:formatCode>
                    <c:ptCount val="1"/>
                    <c:pt idx="0">
                      <c:v>1</c:v>
                    </c:pt>
                  </c:numLit>
                </c:val>
                <c:extLst>
                  <c:ext xmlns:c16="http://schemas.microsoft.com/office/drawing/2014/chart" uri="{C3380CC4-5D6E-409C-BE32-E72D297353CC}">
                    <c16:uniqueId val="{00000008-5B91-4C59-B85F-9E9249B1B68F}"/>
                  </c:ext>
                </c:extLst>
              </c15:ser>
            </c15:filteredPieSeries>
          </c:ext>
        </c:extLst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1.8665111305531289E-2"/>
          <c:y val="6.3200393894633181E-2"/>
          <c:w val="0.95899521293462975"/>
          <c:h val="0.16579019279464341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BA68D-D220-476F-9A4E-496D6DAD9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Наумова А.В.</cp:lastModifiedBy>
  <cp:revision>6</cp:revision>
  <cp:lastPrinted>2023-01-11T09:28:00Z</cp:lastPrinted>
  <dcterms:created xsi:type="dcterms:W3CDTF">2023-01-10T06:52:00Z</dcterms:created>
  <dcterms:modified xsi:type="dcterms:W3CDTF">2023-01-11T09:32:00Z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-994000148</vt:i4>
  </property>
</Properties>
</file>