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FC0" w:rsidRDefault="00C14FC0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F00C8F" w:rsidRDefault="00F00C8F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F00C8F" w:rsidRDefault="00F00C8F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500D70" w:rsidRDefault="00500D70" w:rsidP="00500D70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500D70" w:rsidRPr="00EC4F93" w:rsidRDefault="00500D70" w:rsidP="00500D70">
      <w:pPr>
        <w:pStyle w:val="3"/>
        <w:ind w:firstLine="0"/>
        <w:jc w:val="center"/>
        <w:rPr>
          <w:b/>
          <w:sz w:val="24"/>
          <w:szCs w:val="24"/>
        </w:rPr>
      </w:pPr>
    </w:p>
    <w:p w:rsidR="00500D70" w:rsidRDefault="00500D70" w:rsidP="00500D70">
      <w:pPr>
        <w:pStyle w:val="2"/>
        <w:rPr>
          <w:szCs w:val="24"/>
        </w:rPr>
      </w:pPr>
      <w:r w:rsidRPr="00EC4F93">
        <w:rPr>
          <w:szCs w:val="24"/>
        </w:rPr>
        <w:t xml:space="preserve">За период с </w:t>
      </w:r>
      <w:r>
        <w:rPr>
          <w:szCs w:val="24"/>
        </w:rPr>
        <w:t>1</w:t>
      </w:r>
      <w:r w:rsidR="00EA6E40">
        <w:rPr>
          <w:szCs w:val="24"/>
        </w:rPr>
        <w:t xml:space="preserve"> </w:t>
      </w:r>
      <w:r>
        <w:rPr>
          <w:szCs w:val="24"/>
        </w:rPr>
        <w:t xml:space="preserve">января </w:t>
      </w:r>
      <w:r w:rsidRPr="00EC4F93">
        <w:rPr>
          <w:szCs w:val="24"/>
        </w:rPr>
        <w:t>20</w:t>
      </w:r>
      <w:r>
        <w:rPr>
          <w:szCs w:val="24"/>
        </w:rPr>
        <w:t>22</w:t>
      </w:r>
      <w:r w:rsidRPr="00EC4F93">
        <w:rPr>
          <w:szCs w:val="24"/>
        </w:rPr>
        <w:t xml:space="preserve"> года по </w:t>
      </w:r>
      <w:r>
        <w:rPr>
          <w:szCs w:val="24"/>
        </w:rPr>
        <w:t>30 сентября 2022</w:t>
      </w:r>
      <w:r w:rsidRPr="00EC4F93">
        <w:rPr>
          <w:szCs w:val="24"/>
        </w:rPr>
        <w:t xml:space="preserve"> года в Управление </w:t>
      </w:r>
      <w:r>
        <w:rPr>
          <w:szCs w:val="24"/>
        </w:rPr>
        <w:t xml:space="preserve">социальной политики № 23 обратилось всего </w:t>
      </w:r>
      <w:r w:rsidR="00923330">
        <w:rPr>
          <w:szCs w:val="24"/>
        </w:rPr>
        <w:t>6017</w:t>
      </w:r>
      <w:r>
        <w:rPr>
          <w:szCs w:val="24"/>
        </w:rPr>
        <w:t xml:space="preserve"> человек, в т.ч.:</w:t>
      </w:r>
    </w:p>
    <w:p w:rsidR="00500D70" w:rsidRDefault="00500D70" w:rsidP="00500D70">
      <w:pPr>
        <w:pStyle w:val="2"/>
        <w:rPr>
          <w:szCs w:val="24"/>
        </w:rPr>
      </w:pPr>
      <w:r>
        <w:rPr>
          <w:szCs w:val="24"/>
        </w:rPr>
        <w:t>- поступило 289 письменных обращени</w:t>
      </w:r>
      <w:r w:rsidR="00EA6E40">
        <w:rPr>
          <w:szCs w:val="24"/>
        </w:rPr>
        <w:t>й</w:t>
      </w:r>
      <w:r>
        <w:rPr>
          <w:szCs w:val="24"/>
        </w:rPr>
        <w:t xml:space="preserve">, </w:t>
      </w:r>
    </w:p>
    <w:p w:rsidR="00500D70" w:rsidRDefault="00500D70" w:rsidP="00500D70">
      <w:pPr>
        <w:pStyle w:val="2"/>
        <w:rPr>
          <w:szCs w:val="24"/>
        </w:rPr>
      </w:pPr>
      <w:r>
        <w:rPr>
          <w:szCs w:val="24"/>
        </w:rPr>
        <w:t xml:space="preserve">- на устный прием обратилось </w:t>
      </w:r>
      <w:r w:rsidR="006D3FA5">
        <w:rPr>
          <w:szCs w:val="24"/>
        </w:rPr>
        <w:t>5728</w:t>
      </w:r>
      <w:r w:rsidR="00255843">
        <w:rPr>
          <w:szCs w:val="24"/>
        </w:rPr>
        <w:t xml:space="preserve"> </w:t>
      </w:r>
      <w:r w:rsidRPr="00EC4F93">
        <w:rPr>
          <w:szCs w:val="24"/>
        </w:rPr>
        <w:t>человек</w:t>
      </w:r>
      <w:r>
        <w:rPr>
          <w:szCs w:val="24"/>
        </w:rPr>
        <w:t>а</w:t>
      </w:r>
      <w:r w:rsidRPr="00EC4F93">
        <w:rPr>
          <w:szCs w:val="24"/>
        </w:rPr>
        <w:t>.</w:t>
      </w:r>
    </w:p>
    <w:p w:rsidR="00500D70" w:rsidRDefault="00500D70" w:rsidP="00500D70">
      <w:pPr>
        <w:spacing w:line="240" w:lineRule="auto"/>
        <w:ind w:left="12" w:firstLine="708"/>
        <w:contextualSpacing/>
        <w:jc w:val="both"/>
        <w:rPr>
          <w:rFonts w:ascii="Times New Roman" w:hAnsi="Times New Roman"/>
        </w:rPr>
      </w:pPr>
    </w:p>
    <w:p w:rsidR="00500D70" w:rsidRDefault="00500D70" w:rsidP="00500D70">
      <w:pPr>
        <w:spacing w:line="240" w:lineRule="auto"/>
        <w:ind w:firstLine="708"/>
        <w:contextualSpacing/>
        <w:jc w:val="both"/>
        <w:rPr>
          <w:rFonts w:ascii="Times New Roman" w:hAnsi="Times New Roman"/>
        </w:rPr>
      </w:pPr>
      <w:r w:rsidRPr="00827A34">
        <w:rPr>
          <w:rFonts w:ascii="Times New Roman" w:hAnsi="Times New Roman"/>
        </w:rPr>
        <w:t xml:space="preserve">За отчетный период в Управление социальной политики </w:t>
      </w:r>
      <w:r>
        <w:rPr>
          <w:rFonts w:ascii="Times New Roman" w:hAnsi="Times New Roman"/>
        </w:rPr>
        <w:t>№ 23</w:t>
      </w:r>
      <w:r w:rsidRPr="00827A34">
        <w:rPr>
          <w:rFonts w:ascii="Times New Roman" w:hAnsi="Times New Roman"/>
        </w:rPr>
        <w:t xml:space="preserve"> жалоб и обращений </w:t>
      </w:r>
      <w:r>
        <w:rPr>
          <w:rFonts w:ascii="Times New Roman" w:hAnsi="Times New Roman"/>
        </w:rPr>
        <w:t xml:space="preserve">от </w:t>
      </w:r>
      <w:r w:rsidRPr="00827A34">
        <w:rPr>
          <w:rFonts w:ascii="Times New Roman" w:hAnsi="Times New Roman"/>
        </w:rPr>
        <w:t>граждан и организаций о фактах совершения коррупционных правонарушений не поступало.</w:t>
      </w:r>
    </w:p>
    <w:p w:rsidR="00500D70" w:rsidRDefault="00500D70" w:rsidP="00500D70">
      <w:pPr>
        <w:spacing w:line="240" w:lineRule="auto"/>
        <w:ind w:left="12" w:firstLine="708"/>
        <w:contextualSpacing/>
        <w:jc w:val="both"/>
        <w:rPr>
          <w:rFonts w:ascii="Times New Roman" w:hAnsi="Times New Roman"/>
        </w:rPr>
      </w:pPr>
    </w:p>
    <w:p w:rsidR="00500D70" w:rsidRPr="006E6D55" w:rsidRDefault="00500D70" w:rsidP="00500D70">
      <w:pPr>
        <w:spacing w:line="240" w:lineRule="auto"/>
        <w:ind w:firstLine="708"/>
        <w:contextualSpacing/>
        <w:jc w:val="both"/>
        <w:rPr>
          <w:rFonts w:ascii="Times New Roman" w:hAnsi="Times New Roman"/>
          <w:b/>
        </w:rPr>
      </w:pPr>
      <w:r w:rsidRPr="006E6D55">
        <w:rPr>
          <w:rFonts w:ascii="Times New Roman" w:hAnsi="Times New Roman"/>
          <w:b/>
        </w:rPr>
        <w:t>1. ПИСЬМЕННЫЕ ОБРАЩЕНИЯ ГРАЖДАН</w:t>
      </w:r>
    </w:p>
    <w:p w:rsidR="00500D70" w:rsidRDefault="00500D70" w:rsidP="00500D70">
      <w:pPr>
        <w:spacing w:line="240" w:lineRule="auto"/>
        <w:ind w:firstLine="708"/>
        <w:contextualSpacing/>
        <w:jc w:val="both"/>
        <w:rPr>
          <w:rFonts w:ascii="Times New Roman" w:hAnsi="Times New Roman"/>
        </w:rPr>
      </w:pPr>
    </w:p>
    <w:p w:rsidR="00500D70" w:rsidRDefault="00500D70" w:rsidP="00DA0E3F">
      <w:pPr>
        <w:spacing w:afterLines="10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/>
          <w:color w:val="000000"/>
          <w:sz w:val="24"/>
          <w:szCs w:val="24"/>
        </w:rPr>
        <w:t xml:space="preserve">Большинство </w:t>
      </w:r>
      <w:r>
        <w:rPr>
          <w:rFonts w:ascii="Times New Roman" w:hAnsi="Times New Roman"/>
          <w:color w:val="000000"/>
          <w:sz w:val="24"/>
          <w:szCs w:val="24"/>
        </w:rPr>
        <w:t xml:space="preserve">письменных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обращений поступало </w:t>
      </w:r>
      <w:r>
        <w:rPr>
          <w:rFonts w:ascii="Times New Roman" w:hAnsi="Times New Roman"/>
          <w:color w:val="000000"/>
          <w:sz w:val="24"/>
          <w:szCs w:val="24"/>
        </w:rPr>
        <w:t>по вопросам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 назначения социальных выплат, обеспечения социальных гарантий и </w:t>
      </w:r>
      <w:r>
        <w:rPr>
          <w:rFonts w:ascii="Times New Roman" w:hAnsi="Times New Roman"/>
          <w:color w:val="000000"/>
          <w:sz w:val="24"/>
          <w:szCs w:val="24"/>
        </w:rPr>
        <w:t xml:space="preserve">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496BBB" w:rsidRDefault="00BF0900" w:rsidP="00DA0E3F">
      <w:pPr>
        <w:spacing w:afterLines="10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>
            <wp:extent cx="5038725" cy="2952750"/>
            <wp:effectExtent l="19050" t="0" r="9525" b="0"/>
            <wp:docPr id="1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496BBB" w:rsidRPr="006E6D55" w:rsidRDefault="00496BBB" w:rsidP="00DA0E3F">
      <w:pPr>
        <w:spacing w:afterLines="100" w:line="240" w:lineRule="auto"/>
        <w:ind w:firstLine="708"/>
        <w:jc w:val="both"/>
        <w:rPr>
          <w:rFonts w:ascii="Times New Roman" w:eastAsia="Times New Roman" w:hAnsi="Times New Roman"/>
          <w:noProof/>
          <w:sz w:val="24"/>
          <w:szCs w:val="24"/>
        </w:rPr>
      </w:pPr>
      <w:r w:rsidRPr="006E6D55">
        <w:rPr>
          <w:rFonts w:ascii="Times New Roman" w:eastAsia="Times New Roman" w:hAnsi="Times New Roman"/>
          <w:noProof/>
          <w:sz w:val="24"/>
          <w:szCs w:val="24"/>
        </w:rPr>
        <w:t>Основны</w:t>
      </w:r>
      <w:r w:rsidR="00255843">
        <w:rPr>
          <w:rFonts w:ascii="Times New Roman" w:eastAsia="Times New Roman" w:hAnsi="Times New Roman"/>
          <w:noProof/>
          <w:sz w:val="24"/>
          <w:szCs w:val="24"/>
        </w:rPr>
        <w:t>е</w:t>
      </w:r>
      <w:r w:rsidRPr="006E6D55">
        <w:rPr>
          <w:rFonts w:ascii="Times New Roman" w:eastAsia="Times New Roman" w:hAnsi="Times New Roman"/>
          <w:noProof/>
          <w:sz w:val="24"/>
          <w:szCs w:val="24"/>
        </w:rPr>
        <w:t xml:space="preserve"> источники </w:t>
      </w:r>
      <w:r w:rsidR="00255843">
        <w:rPr>
          <w:rFonts w:ascii="Times New Roman" w:eastAsia="Times New Roman" w:hAnsi="Times New Roman"/>
          <w:noProof/>
          <w:sz w:val="24"/>
          <w:szCs w:val="24"/>
        </w:rPr>
        <w:t xml:space="preserve">поступления </w:t>
      </w:r>
      <w:r w:rsidRPr="006E6D55">
        <w:rPr>
          <w:rFonts w:ascii="Times New Roman" w:eastAsia="Times New Roman" w:hAnsi="Times New Roman"/>
          <w:noProof/>
          <w:sz w:val="24"/>
          <w:szCs w:val="24"/>
        </w:rPr>
        <w:t xml:space="preserve">обращений: </w:t>
      </w:r>
      <w:r w:rsidR="00255843">
        <w:rPr>
          <w:rFonts w:ascii="Times New Roman" w:eastAsia="Times New Roman" w:hAnsi="Times New Roman"/>
          <w:noProof/>
          <w:sz w:val="24"/>
          <w:szCs w:val="24"/>
        </w:rPr>
        <w:t xml:space="preserve">из </w:t>
      </w:r>
      <w:r w:rsidRPr="006E6D55">
        <w:rPr>
          <w:rFonts w:ascii="Times New Roman" w:eastAsia="Times New Roman" w:hAnsi="Times New Roman"/>
          <w:noProof/>
          <w:sz w:val="24"/>
          <w:szCs w:val="24"/>
        </w:rPr>
        <w:t>Министерств</w:t>
      </w:r>
      <w:r w:rsidR="00255843">
        <w:rPr>
          <w:rFonts w:ascii="Times New Roman" w:eastAsia="Times New Roman" w:hAnsi="Times New Roman"/>
          <w:noProof/>
          <w:sz w:val="24"/>
          <w:szCs w:val="24"/>
        </w:rPr>
        <w:t>а</w:t>
      </w:r>
      <w:r w:rsidRPr="006E6D55">
        <w:rPr>
          <w:rFonts w:ascii="Times New Roman" w:eastAsia="Times New Roman" w:hAnsi="Times New Roman"/>
          <w:noProof/>
          <w:sz w:val="24"/>
          <w:szCs w:val="24"/>
        </w:rPr>
        <w:t xml:space="preserve"> социальной политики Свердловской области , а так же </w:t>
      </w:r>
      <w:r w:rsidR="00F00C8F">
        <w:rPr>
          <w:rFonts w:ascii="Times New Roman" w:eastAsia="Times New Roman" w:hAnsi="Times New Roman"/>
          <w:noProof/>
          <w:sz w:val="24"/>
          <w:szCs w:val="24"/>
        </w:rPr>
        <w:t>обращения граждан как путем личного обращения, так по средствам электронных р</w:t>
      </w:r>
      <w:r w:rsidR="00280D81">
        <w:rPr>
          <w:rFonts w:ascii="Times New Roman" w:eastAsia="Times New Roman" w:hAnsi="Times New Roman"/>
          <w:noProof/>
          <w:sz w:val="24"/>
          <w:szCs w:val="24"/>
        </w:rPr>
        <w:t>е</w:t>
      </w:r>
      <w:r w:rsidR="00F00C8F">
        <w:rPr>
          <w:rFonts w:ascii="Times New Roman" w:eastAsia="Times New Roman" w:hAnsi="Times New Roman"/>
          <w:noProof/>
          <w:sz w:val="24"/>
          <w:szCs w:val="24"/>
        </w:rPr>
        <w:t>сурсов</w:t>
      </w:r>
    </w:p>
    <w:p w:rsidR="006E6D55" w:rsidRDefault="00496BBB" w:rsidP="006E6D55">
      <w:pPr>
        <w:spacing w:line="240" w:lineRule="auto"/>
        <w:ind w:firstLine="708"/>
        <w:contextualSpacing/>
        <w:jc w:val="both"/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>
            <wp:extent cx="5038725" cy="2952750"/>
            <wp:effectExtent l="19050" t="0" r="9525" b="0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AC30D4" w:rsidRDefault="00AC30D4" w:rsidP="00AC30D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F00C8F" w:rsidRDefault="00F00C8F" w:rsidP="00AC30D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F00C8F" w:rsidRDefault="00F00C8F" w:rsidP="00AC30D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-162560</wp:posOffset>
            </wp:positionH>
            <wp:positionV relativeFrom="margin">
              <wp:posOffset>1125855</wp:posOffset>
            </wp:positionV>
            <wp:extent cx="6543675" cy="7239000"/>
            <wp:effectExtent l="0" t="0" r="9525" b="19050"/>
            <wp:wrapTopAndBottom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  <w:bookmarkEnd w:id="0"/>
    </w:p>
    <w:p w:rsidR="006E6D55" w:rsidRPr="00F00C8F" w:rsidRDefault="00F00C8F" w:rsidP="00DA0E3F">
      <w:pPr>
        <w:spacing w:afterLines="100" w:line="240" w:lineRule="auto"/>
        <w:ind w:firstLine="709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  <w:r w:rsidRPr="00F00C8F">
        <w:rPr>
          <w:rFonts w:ascii="Times New Roman" w:eastAsia="Times New Roman" w:hAnsi="Times New Roman"/>
          <w:b/>
          <w:noProof/>
          <w:sz w:val="24"/>
          <w:szCs w:val="24"/>
        </w:rPr>
        <w:t>2. УСТНЫЕ ОБРАЩЕНИЯ ГРАЖДАН</w:t>
      </w: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Все обращения рассмотрены в установленный законодательством срок, </w:t>
      </w:r>
      <w:r w:rsidR="00E67554">
        <w:rPr>
          <w:rFonts w:ascii="Times New Roman" w:hAnsi="Times New Roman" w:cs="Times New Roman"/>
        </w:rPr>
        <w:t>имеется одна обоснованная жалоба .</w:t>
      </w:r>
    </w:p>
    <w:p w:rsidR="006E6D55" w:rsidRDefault="006E6D55" w:rsidP="006E6D5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9355D2" w:rsidRDefault="009355D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sectPr w:rsidR="009355D2" w:rsidSect="00496BBB">
      <w:pgSz w:w="11906" w:h="16838"/>
      <w:pgMar w:top="567" w:right="849" w:bottom="142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152E02"/>
    <w:rsid w:val="000258B5"/>
    <w:rsid w:val="00026E2A"/>
    <w:rsid w:val="00075B5A"/>
    <w:rsid w:val="000828FC"/>
    <w:rsid w:val="00086662"/>
    <w:rsid w:val="0009600A"/>
    <w:rsid w:val="000973E4"/>
    <w:rsid w:val="000D6E16"/>
    <w:rsid w:val="000E418F"/>
    <w:rsid w:val="000E5664"/>
    <w:rsid w:val="00117D62"/>
    <w:rsid w:val="00123AE6"/>
    <w:rsid w:val="00150F5F"/>
    <w:rsid w:val="00152E02"/>
    <w:rsid w:val="00162C85"/>
    <w:rsid w:val="00165627"/>
    <w:rsid w:val="001907E1"/>
    <w:rsid w:val="001A71B0"/>
    <w:rsid w:val="001F74BC"/>
    <w:rsid w:val="00212B44"/>
    <w:rsid w:val="00255843"/>
    <w:rsid w:val="0026300D"/>
    <w:rsid w:val="00265BE8"/>
    <w:rsid w:val="002670A4"/>
    <w:rsid w:val="00280D81"/>
    <w:rsid w:val="00281E92"/>
    <w:rsid w:val="00290FD0"/>
    <w:rsid w:val="002B5D8E"/>
    <w:rsid w:val="002C21A9"/>
    <w:rsid w:val="0032000B"/>
    <w:rsid w:val="003343A2"/>
    <w:rsid w:val="00342A9B"/>
    <w:rsid w:val="00347081"/>
    <w:rsid w:val="00351ED3"/>
    <w:rsid w:val="0035643E"/>
    <w:rsid w:val="00396CE9"/>
    <w:rsid w:val="003C1F6E"/>
    <w:rsid w:val="003D2303"/>
    <w:rsid w:val="003E6D89"/>
    <w:rsid w:val="003F4EB8"/>
    <w:rsid w:val="00422A30"/>
    <w:rsid w:val="004478E8"/>
    <w:rsid w:val="00450104"/>
    <w:rsid w:val="00453786"/>
    <w:rsid w:val="004611FD"/>
    <w:rsid w:val="0046378C"/>
    <w:rsid w:val="00480F65"/>
    <w:rsid w:val="0048361A"/>
    <w:rsid w:val="00496BBB"/>
    <w:rsid w:val="004D706D"/>
    <w:rsid w:val="004E3CDE"/>
    <w:rsid w:val="00500D70"/>
    <w:rsid w:val="00505DDD"/>
    <w:rsid w:val="0052322E"/>
    <w:rsid w:val="0053172A"/>
    <w:rsid w:val="00564B50"/>
    <w:rsid w:val="0059196B"/>
    <w:rsid w:val="00592AE9"/>
    <w:rsid w:val="005966E1"/>
    <w:rsid w:val="005973EC"/>
    <w:rsid w:val="005C2FFC"/>
    <w:rsid w:val="005E154E"/>
    <w:rsid w:val="00632E7B"/>
    <w:rsid w:val="006371C5"/>
    <w:rsid w:val="00644C59"/>
    <w:rsid w:val="006547F4"/>
    <w:rsid w:val="00672322"/>
    <w:rsid w:val="0069476B"/>
    <w:rsid w:val="006B2F6A"/>
    <w:rsid w:val="006C23AE"/>
    <w:rsid w:val="006C49D9"/>
    <w:rsid w:val="006D3FA5"/>
    <w:rsid w:val="006E6D55"/>
    <w:rsid w:val="007035B8"/>
    <w:rsid w:val="00705134"/>
    <w:rsid w:val="00723785"/>
    <w:rsid w:val="007A0F47"/>
    <w:rsid w:val="007B2A2C"/>
    <w:rsid w:val="007B5C58"/>
    <w:rsid w:val="007C6561"/>
    <w:rsid w:val="00820249"/>
    <w:rsid w:val="00837BDC"/>
    <w:rsid w:val="00861CDB"/>
    <w:rsid w:val="00884EEC"/>
    <w:rsid w:val="008857BA"/>
    <w:rsid w:val="008D2E48"/>
    <w:rsid w:val="00913A55"/>
    <w:rsid w:val="00920D03"/>
    <w:rsid w:val="00923330"/>
    <w:rsid w:val="00926271"/>
    <w:rsid w:val="00930B67"/>
    <w:rsid w:val="00932554"/>
    <w:rsid w:val="00935156"/>
    <w:rsid w:val="009355D2"/>
    <w:rsid w:val="0095385B"/>
    <w:rsid w:val="0096177B"/>
    <w:rsid w:val="009966AA"/>
    <w:rsid w:val="009D0EDE"/>
    <w:rsid w:val="009D4B7A"/>
    <w:rsid w:val="009E0242"/>
    <w:rsid w:val="00A31F33"/>
    <w:rsid w:val="00A33F96"/>
    <w:rsid w:val="00A41FEE"/>
    <w:rsid w:val="00A95862"/>
    <w:rsid w:val="00A96709"/>
    <w:rsid w:val="00AB574E"/>
    <w:rsid w:val="00AC30D4"/>
    <w:rsid w:val="00AC55B6"/>
    <w:rsid w:val="00AC6A46"/>
    <w:rsid w:val="00AC701C"/>
    <w:rsid w:val="00AE1ED0"/>
    <w:rsid w:val="00AE43DD"/>
    <w:rsid w:val="00AE5740"/>
    <w:rsid w:val="00AF2A25"/>
    <w:rsid w:val="00B0466D"/>
    <w:rsid w:val="00B11C13"/>
    <w:rsid w:val="00B14C35"/>
    <w:rsid w:val="00B22AFF"/>
    <w:rsid w:val="00B37C12"/>
    <w:rsid w:val="00B60F3D"/>
    <w:rsid w:val="00B81830"/>
    <w:rsid w:val="00BF009B"/>
    <w:rsid w:val="00BF0900"/>
    <w:rsid w:val="00BF1893"/>
    <w:rsid w:val="00BF28A6"/>
    <w:rsid w:val="00BF651F"/>
    <w:rsid w:val="00C00D55"/>
    <w:rsid w:val="00C06002"/>
    <w:rsid w:val="00C14FC0"/>
    <w:rsid w:val="00C31547"/>
    <w:rsid w:val="00CA4D2E"/>
    <w:rsid w:val="00CF069D"/>
    <w:rsid w:val="00D85C60"/>
    <w:rsid w:val="00DA0E3F"/>
    <w:rsid w:val="00DC61C4"/>
    <w:rsid w:val="00E04A7D"/>
    <w:rsid w:val="00E05073"/>
    <w:rsid w:val="00E67554"/>
    <w:rsid w:val="00E92F13"/>
    <w:rsid w:val="00EA6E40"/>
    <w:rsid w:val="00EB0AA3"/>
    <w:rsid w:val="00EC3484"/>
    <w:rsid w:val="00F00C8F"/>
    <w:rsid w:val="00F36F07"/>
    <w:rsid w:val="00F85111"/>
    <w:rsid w:val="00F971DD"/>
    <w:rsid w:val="00FA15CA"/>
    <w:rsid w:val="00FB009A"/>
    <w:rsid w:val="00FC31AB"/>
    <w:rsid w:val="00FC616F"/>
    <w:rsid w:val="00FC7F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F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6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D5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6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D5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dLbls>
            <c:showVal val="1"/>
          </c:dLbls>
          <c:cat>
            <c:strRef>
              <c:f>Лист1!$A$2:$A$8</c:f>
              <c:strCache>
                <c:ptCount val="7"/>
                <c:pt idx="0">
                  <c:v>Отдел назанчения социальных выплат</c:v>
                </c:pt>
                <c:pt idx="1">
                  <c:v>Отдел обеспечения социальных гарантий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</c:v>
                </c:pt>
                <c:pt idx="4">
                  <c:v>Отдел юридической и кадровой службы</c:v>
                </c:pt>
                <c:pt idx="5">
                  <c:v>Отдел по защите прав граждан</c:v>
                </c:pt>
                <c:pt idx="6">
                  <c:v>Руководство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98</c:v>
                </c:pt>
                <c:pt idx="1">
                  <c:v>95</c:v>
                </c:pt>
                <c:pt idx="2">
                  <c:v>48</c:v>
                </c:pt>
                <c:pt idx="3">
                  <c:v>11</c:v>
                </c:pt>
                <c:pt idx="4">
                  <c:v>3</c:v>
                </c:pt>
                <c:pt idx="5">
                  <c:v>32</c:v>
                </c:pt>
                <c:pt idx="6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gapWidth val="219"/>
        <c:axId val="101445632"/>
        <c:axId val="101447168"/>
      </c:barChart>
      <c:catAx>
        <c:axId val="101445632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1447168"/>
        <c:crosses val="autoZero"/>
        <c:auto val="1"/>
        <c:lblAlgn val="ctr"/>
        <c:lblOffset val="100"/>
      </c:catAx>
      <c:valAx>
        <c:axId val="101447168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14456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dLbls>
            <c:showVal val="1"/>
          </c:dLbls>
          <c:cat>
            <c:strRef>
              <c:f>Лист1!$A$2:$A$10</c:f>
              <c:strCache>
                <c:ptCount val="9"/>
                <c:pt idx="0">
                  <c:v>Министерство социальной политики Свердловской области</c:v>
                </c:pt>
                <c:pt idx="1">
                  <c:v>Прокуратура Свердловской области</c:v>
                </c:pt>
                <c:pt idx="2">
                  <c:v>Пенсионный фонд России</c:v>
                </c:pt>
                <c:pt idx="3">
                  <c:v>Обращения граждан с электронных ресурсов</c:v>
                </c:pt>
                <c:pt idx="4">
                  <c:v>Администрация </c:v>
                </c:pt>
                <c:pt idx="5">
                  <c:v>Управление социальной политики</c:v>
                </c:pt>
                <c:pt idx="6">
                  <c:v>Обращения граждан лично</c:v>
                </c:pt>
                <c:pt idx="7">
                  <c:v>Детская городская боьница</c:v>
                </c:pt>
                <c:pt idx="8">
                  <c:v>Государственная Дума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87</c:v>
                </c:pt>
                <c:pt idx="1">
                  <c:v>15</c:v>
                </c:pt>
                <c:pt idx="2">
                  <c:v>2</c:v>
                </c:pt>
                <c:pt idx="3">
                  <c:v>88</c:v>
                </c:pt>
                <c:pt idx="4">
                  <c:v>7</c:v>
                </c:pt>
                <c:pt idx="5">
                  <c:v>2</c:v>
                </c:pt>
                <c:pt idx="6">
                  <c:v>86</c:v>
                </c:pt>
                <c:pt idx="7">
                  <c:v>1</c:v>
                </c:pt>
                <c:pt idx="8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gapWidth val="219"/>
        <c:axId val="101427072"/>
        <c:axId val="101428608"/>
      </c:barChart>
      <c:catAx>
        <c:axId val="101427072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1428608"/>
        <c:crosses val="autoZero"/>
        <c:auto val="1"/>
        <c:lblAlgn val="ctr"/>
        <c:lblOffset val="100"/>
      </c:catAx>
      <c:valAx>
        <c:axId val="101428608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1427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26399314668999679"/>
          <c:y val="0.14718253968253969"/>
          <c:w val="0.49747685185185286"/>
          <c:h val="0.85281746031746031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1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E-5B91-4C59-B85F-9E9249B1B68F}"/>
              </c:ext>
            </c:extLst>
          </c:dPt>
          <c:dPt>
            <c:idx val="2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3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4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5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5B91-4C59-B85F-9E9249B1B68F}"/>
              </c:ext>
            </c:extLst>
          </c:dPt>
          <c:dPt>
            <c:idx val="6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B91-4C59-B85F-9E9249B1B68F}"/>
              </c:ext>
            </c:extLst>
          </c:dPt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2</a:t>
                    </a:r>
                    <a:r>
                      <a:rPr lang="ru-RU"/>
                      <a:t>7</a:t>
                    </a:r>
                    <a:r>
                      <a:rPr lang="en-US"/>
                      <a:t>%</a:t>
                    </a:r>
                  </a:p>
                </c:rich>
              </c:tx>
              <c:dLblPos val="inEnd"/>
              <c:showPercent val="1"/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2</a:t>
                    </a:r>
                    <a:r>
                      <a:rPr lang="ru-RU"/>
                      <a:t>7</a:t>
                    </a:r>
                    <a:r>
                      <a:rPr lang="en-US"/>
                      <a:t>%</a:t>
                    </a:r>
                  </a:p>
                </c:rich>
              </c:tx>
              <c:dLblPos val="inEnd"/>
              <c:showPercent val="1"/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2</a:t>
                    </a:r>
                    <a:r>
                      <a:rPr lang="ru-RU"/>
                      <a:t>1</a:t>
                    </a:r>
                    <a:r>
                      <a:rPr lang="en-US"/>
                      <a:t>%</a:t>
                    </a:r>
                  </a:p>
                </c:rich>
              </c:tx>
              <c:dLblPos val="inEnd"/>
              <c:showPercent val="1"/>
            </c:dLbl>
            <c:dLbl>
              <c:idx val="3"/>
              <c:layout/>
              <c:tx>
                <c:rich>
                  <a:bodyPr/>
                  <a:lstStyle/>
                  <a:p>
                    <a:r>
                      <a:rPr lang="ru-RU"/>
                      <a:t>16%</a:t>
                    </a:r>
                    <a:endParaRPr lang="en-US"/>
                  </a:p>
                </c:rich>
              </c:tx>
              <c:dLblPos val="inEnd"/>
              <c:showPercent val="1"/>
            </c:dLbl>
            <c:dLbl>
              <c:idx val="4"/>
              <c:layout/>
              <c:tx>
                <c:rich>
                  <a:bodyPr/>
                  <a:lstStyle/>
                  <a:p>
                    <a:r>
                      <a:rPr lang="ru-RU"/>
                      <a:t>7</a:t>
                    </a:r>
                    <a:r>
                      <a:rPr lang="en-US"/>
                      <a:t>%</a:t>
                    </a:r>
                  </a:p>
                </c:rich>
              </c:tx>
              <c:dLblPos val="inEnd"/>
              <c:showPercent val="1"/>
            </c:dLbl>
            <c:dLbl>
              <c:idx val="5"/>
              <c:layout/>
              <c:tx>
                <c:rich>
                  <a:bodyPr/>
                  <a:lstStyle/>
                  <a:p>
                    <a:r>
                      <a:rPr lang="ru-RU"/>
                      <a:t>1</a:t>
                    </a:r>
                    <a:r>
                      <a:rPr lang="en-US"/>
                      <a:t>%</a:t>
                    </a:r>
                  </a:p>
                </c:rich>
              </c:tx>
              <c:dLblPos val="inEnd"/>
              <c:showPercent val="1"/>
            </c:dLbl>
            <c:dLbl>
              <c:idx val="6"/>
              <c:layout>
                <c:manualLayout>
                  <c:x val="5.7027316029939984E-3"/>
                  <c:y val="6.8309083225749023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1</a:t>
                    </a:r>
                    <a:r>
                      <a:rPr lang="en-US"/>
                      <a:t>%</a:t>
                    </a:r>
                  </a:p>
                </c:rich>
              </c:tx>
              <c:dLblPos val="bestFit"/>
              <c:showPercent val="1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Percent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Лист1!$A$2:$A$8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1568 (27%)</c:v>
                </c:pt>
                <c:pt idx="1">
                  <c:v>Отдел назначения социальных выплат                                                                                                                                  1529 (27%)</c:v>
                </c:pt>
                <c:pt idx="2">
                  <c:v>Отдел семейной политики и организации социального обслуживания граждан                                                          1235 (21%)</c:v>
                </c:pt>
                <c:pt idx="3">
                  <c:v>Отдел по выявлению граждан, нуждающихся в опеке и попечительстве, надзору за опекунами и попечителями     897 (16%)</c:v>
                </c:pt>
                <c:pt idx="4">
                  <c:v>Отдел по защите прав граждан, находящихся под опекой и попечительством                                                                       426 (7%)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44(1%)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  29 (1%)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1568</c:v>
                </c:pt>
                <c:pt idx="1">
                  <c:v>1529</c:v>
                </c:pt>
                <c:pt idx="2">
                  <c:v>1235</c:v>
                </c:pt>
                <c:pt idx="3">
                  <c:v>897</c:v>
                </c:pt>
                <c:pt idx="4">
                  <c:v>426</c:v>
                </c:pt>
                <c:pt idx="5">
                  <c:v>44</c:v>
                </c:pt>
                <c:pt idx="6">
                  <c:v>29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B91-4C59-B85F-9E9249B1B68F}"/>
            </c:ext>
          </c:extLst>
        </c:ser>
        <c:dLbls>
          <c:showPercent val="1"/>
        </c:dLbls>
        <c:firstSliceAng val="0"/>
        <c:extLst xmlns:c16r2="http://schemas.microsoft.com/office/drawing/2015/06/chart"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733</c:v>
                      </c:pt>
                      <c:pt idx="1">
                        <c:v>645</c:v>
                      </c:pt>
                      <c:pt idx="2">
                        <c:v>359</c:v>
                      </c:pt>
                      <c:pt idx="3">
                        <c:v>299</c:v>
                      </c:pt>
                      <c:pt idx="4">
                        <c:v>114</c:v>
                      </c:pt>
                      <c:pt idx="5">
                        <c:v>30</c:v>
                      </c:pt>
                      <c:pt idx="6">
                        <c:v>14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>
                      <c15:layout/>
                    </c:ext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08-5B91-4C59-B85F-9E9249B1B68F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11305531279E-2"/>
          <c:y val="6.3200393894633181E-2"/>
          <c:w val="0.95899521293462908"/>
          <c:h val="0.16579019279464341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BA68D-D220-476F-9A4E-496D6DAD9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11</cp:revision>
  <cp:lastPrinted>2022-09-30T11:03:00Z</cp:lastPrinted>
  <dcterms:created xsi:type="dcterms:W3CDTF">2022-09-30T06:08:00Z</dcterms:created>
  <dcterms:modified xsi:type="dcterms:W3CDTF">2022-09-30T11:04:00Z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-994000148</vt:i4>
  </property>
</Properties>
</file>