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42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92C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D51DD" w:rsidRPr="00292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236">
        <w:rPr>
          <w:rFonts w:ascii="Times New Roman" w:hAnsi="Times New Roman" w:cs="Times New Roman"/>
          <w:sz w:val="28"/>
          <w:szCs w:val="28"/>
        </w:rPr>
        <w:t>о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292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92C53" w:rsidRPr="00292C53">
        <w:rPr>
          <w:rFonts w:ascii="Times New Roman" w:hAnsi="Times New Roman" w:cs="Times New Roman"/>
          <w:sz w:val="28"/>
          <w:szCs w:val="28"/>
        </w:rPr>
        <w:t>1044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68E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92C53">
        <w:rPr>
          <w:rFonts w:ascii="Times New Roman" w:hAnsi="Times New Roman" w:cs="Times New Roman"/>
          <w:sz w:val="28"/>
          <w:szCs w:val="28"/>
        </w:rPr>
        <w:t>21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1916D5">
        <w:rPr>
          <w:rFonts w:ascii="Times New Roman" w:hAnsi="Times New Roman" w:cs="Times New Roman"/>
          <w:sz w:val="28"/>
          <w:szCs w:val="28"/>
        </w:rPr>
        <w:t>меньше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92C53">
        <w:rPr>
          <w:rFonts w:ascii="Times New Roman" w:hAnsi="Times New Roman" w:cs="Times New Roman"/>
          <w:sz w:val="28"/>
          <w:szCs w:val="28"/>
        </w:rPr>
        <w:t>1044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292C53">
        <w:rPr>
          <w:rFonts w:ascii="Times New Roman" w:hAnsi="Times New Roman" w:cs="Times New Roman"/>
          <w:sz w:val="28"/>
          <w:szCs w:val="28"/>
        </w:rPr>
        <w:t>152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292C53">
        <w:rPr>
          <w:rFonts w:ascii="Times New Roman" w:hAnsi="Times New Roman" w:cs="Times New Roman"/>
          <w:sz w:val="28"/>
          <w:szCs w:val="28"/>
        </w:rPr>
        <w:t>560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292C53">
        <w:rPr>
          <w:rFonts w:ascii="Times New Roman" w:hAnsi="Times New Roman" w:cs="Times New Roman"/>
          <w:sz w:val="28"/>
          <w:szCs w:val="28"/>
        </w:rPr>
        <w:t>484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>По сравнению с</w:t>
      </w:r>
      <w:r w:rsidR="00514236">
        <w:rPr>
          <w:rFonts w:ascii="Times New Roman" w:hAnsi="Times New Roman" w:cs="Times New Roman"/>
          <w:sz w:val="28"/>
          <w:szCs w:val="28"/>
        </w:rPr>
        <w:t>о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92C5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1916D5">
        <w:rPr>
          <w:rFonts w:ascii="Times New Roman" w:hAnsi="Times New Roman" w:cs="Times New Roman"/>
          <w:sz w:val="28"/>
          <w:szCs w:val="28"/>
        </w:rPr>
        <w:t>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292C53">
        <w:rPr>
          <w:rFonts w:ascii="Times New Roman" w:hAnsi="Times New Roman" w:cs="Times New Roman"/>
          <w:sz w:val="28"/>
          <w:szCs w:val="28"/>
        </w:rPr>
        <w:t>27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</w:t>
      </w:r>
      <w:r w:rsidR="00514236">
        <w:rPr>
          <w:rFonts w:ascii="Times New Roman" w:hAnsi="Times New Roman" w:cs="Times New Roman"/>
          <w:sz w:val="28"/>
          <w:szCs w:val="28"/>
        </w:rPr>
        <w:t>о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292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</w:t>
      </w:r>
      <w:r w:rsidR="00514236">
        <w:rPr>
          <w:rFonts w:ascii="Times New Roman" w:hAnsi="Times New Roman" w:cs="Times New Roman"/>
          <w:sz w:val="28"/>
          <w:szCs w:val="28"/>
        </w:rPr>
        <w:t>о</w:t>
      </w:r>
      <w:r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C64067" w:rsidRPr="00C64067">
        <w:rPr>
          <w:rFonts w:ascii="Times New Roman" w:hAnsi="Times New Roman" w:cs="Times New Roman"/>
          <w:sz w:val="28"/>
          <w:szCs w:val="28"/>
        </w:rPr>
        <w:t>I</w:t>
      </w:r>
      <w:r w:rsidR="00BC34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1C4FF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="001916D5" w:rsidRP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1C4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1C4FF9" w:rsidRPr="001C4FF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916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I 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квартал 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Pr="001C4FF9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520</w:t>
            </w:r>
          </w:p>
        </w:tc>
        <w:tc>
          <w:tcPr>
            <w:tcW w:w="1134" w:type="dxa"/>
          </w:tcPr>
          <w:p w:rsidR="00B8270A" w:rsidRDefault="0060019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39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C4FF9" w:rsidRP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992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41,3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-89</w:t>
            </w:r>
          </w:p>
        </w:tc>
        <w:tc>
          <w:tcPr>
            <w:tcW w:w="1276" w:type="dxa"/>
          </w:tcPr>
          <w:p w:rsidR="00B8270A" w:rsidRPr="00DD0998" w:rsidRDefault="001C4FF9" w:rsidP="001C4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-17,1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34" w:type="dxa"/>
          </w:tcPr>
          <w:p w:rsidR="00B8270A" w:rsidRDefault="001C4FF9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12,8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-59</w:t>
            </w:r>
          </w:p>
        </w:tc>
        <w:tc>
          <w:tcPr>
            <w:tcW w:w="1276" w:type="dxa"/>
          </w:tcPr>
          <w:p w:rsidR="00B8270A" w:rsidRPr="00DD0998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-34,9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34" w:type="dxa"/>
          </w:tcPr>
          <w:p w:rsidR="00B8270A" w:rsidRDefault="001C4FF9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</w:tcPr>
          <w:p w:rsidR="00B8270A" w:rsidRDefault="00B8270A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3,1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276" w:type="dxa"/>
          </w:tcPr>
          <w:p w:rsidR="00B8270A" w:rsidRPr="00DD0998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3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276" w:type="dxa"/>
          </w:tcPr>
          <w:p w:rsidR="00B8270A" w:rsidRPr="00DD0998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-25,2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B8270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9,1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1C4FF9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276" w:type="dxa"/>
          </w:tcPr>
          <w:p w:rsidR="00B8270A" w:rsidRPr="00DD0998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-17,4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</w:tcPr>
          <w:p w:rsidR="00B8270A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9,8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C4FF9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276" w:type="dxa"/>
          </w:tcPr>
          <w:p w:rsidR="00B8270A" w:rsidRPr="00DD0998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-12,1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</w:tcPr>
          <w:p w:rsidR="00B8270A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C4FF9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B8270A" w:rsidRDefault="001C4FF9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6,2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B8270A" w:rsidRPr="00DD0998" w:rsidRDefault="00F65CDD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C4FF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49,6</w:t>
            </w:r>
          </w:p>
        </w:tc>
      </w:tr>
      <w:tr w:rsidR="00B8270A" w:rsidTr="00110F6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1C4FF9" w:rsidRDefault="001C4FF9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en-US" w:eastAsia="ru-RU"/>
              </w:rPr>
              <w:t>1321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2B7E51" w:rsidRDefault="002B7E5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en-US" w:eastAsia="ru-RU"/>
              </w:rPr>
              <w:t>1044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8270A" w:rsidRPr="004A4329" w:rsidRDefault="001C4FF9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-277</w:t>
            </w:r>
          </w:p>
        </w:tc>
        <w:tc>
          <w:tcPr>
            <w:tcW w:w="1276" w:type="dxa"/>
            <w:shd w:val="clear" w:color="auto" w:fill="FFFFFF" w:themeFill="background1"/>
          </w:tcPr>
          <w:p w:rsidR="00B8270A" w:rsidRPr="00DD0998" w:rsidRDefault="001C4FF9" w:rsidP="0011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-21</w:t>
            </w:r>
            <w:r w:rsidR="00B52766"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обращений граждан, поступивших в</w:t>
      </w:r>
      <w:r w:rsidR="005142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6C49B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муниципальных </w:t>
      </w:r>
      <w:r w:rsidR="00152C50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образований</w:t>
      </w:r>
      <w:r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4A49FC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городской округ Первоуральск, </w:t>
      </w:r>
      <w:proofErr w:type="spellStart"/>
      <w:r w:rsidR="004A49FC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</w:t>
      </w:r>
      <w:proofErr w:type="spellEnd"/>
      <w:r w:rsidR="004A49FC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округ, </w:t>
      </w:r>
      <w:r w:rsidR="00873B1B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="00092094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Полевской городской округ</w:t>
      </w:r>
      <w:r w:rsidR="00D34A42" w:rsidRPr="00D34A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629275" cy="3152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49FC" w:rsidRDefault="00873B1B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</w:t>
      </w:r>
      <w:r w:rsidR="00514236">
        <w:rPr>
          <w:bCs/>
          <w:color w:val="000000"/>
          <w:sz w:val="28"/>
          <w:szCs w:val="28"/>
        </w:rPr>
        <w:t>о</w:t>
      </w:r>
      <w:r w:rsidRPr="00873B1B">
        <w:rPr>
          <w:bCs/>
          <w:color w:val="000000"/>
          <w:sz w:val="28"/>
          <w:szCs w:val="28"/>
        </w:rPr>
        <w:t xml:space="preserve">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="00D34A42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F6236D">
        <w:rPr>
          <w:bCs/>
          <w:color w:val="000000"/>
          <w:sz w:val="28"/>
          <w:szCs w:val="28"/>
        </w:rPr>
        <w:t>7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="002B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1E3076" w:rsidRDefault="001E3076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FB790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FB790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</w:t>
      </w:r>
      <w:r w:rsidR="00CA02AE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получение мер социальной поддержки.</w:t>
      </w:r>
    </w:p>
    <w:p w:rsidR="00AD2410" w:rsidRPr="00FB7909" w:rsidRDefault="00AD2410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внесением изменений в </w:t>
      </w:r>
      <w:r w:rsidR="00CB3FDE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Администрации города</w:t>
      </w:r>
      <w:r w:rsidR="002F4654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Екатеринбурга от 12.01.2011 № 6 «О стоимости электронных проездных билетов» в части увеличения стоимости электронного проездного билета (ЕКАРТА) для</w:t>
      </w:r>
      <w:r w:rsidR="002F4654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категорий граждан (1000 рублей вместо 426 рублей)</w:t>
      </w:r>
      <w:r w:rsidR="002F4654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стали поступать обращения </w:t>
      </w:r>
      <w:r w:rsidR="00D742E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</w:t>
      </w:r>
      <w:r w:rsidR="00FD1E12" w:rsidRPr="00FB7909">
        <w:t xml:space="preserve"> 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сообщении.</w:t>
      </w:r>
    </w:p>
    <w:p w:rsidR="0084364B" w:rsidRPr="00FB790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продолжали поступать 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 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вопросам реализации и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разъяснения основных положений Закона Свердловской области от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 32-ОЗ «О компенсации расходов на уплату взноса на</w:t>
      </w:r>
      <w:r w:rsidR="00FD1E12"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B790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капитальный ремонт общего имущества в многоквартирном доме» и другие.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A585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51423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CA02AE" w:rsidRPr="00CA02AE">
        <w:t xml:space="preserve"> </w:t>
      </w:r>
      <w:r w:rsidR="00CA02AE" w:rsidRP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51423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квартале 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84364B" w:rsidRPr="00D32E1C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CA02AE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 xml:space="preserve">Охрана семьи, материнства, отцовства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CA0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FB7909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288</w:t>
            </w:r>
          </w:p>
        </w:tc>
      </w:tr>
    </w:tbl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выявил группы заявителей, которые наиболее часто обращались в Министерство </w:t>
      </w:r>
      <w:r w:rsidR="00514236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FA09D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2017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EC65D6" w:rsidRDefault="00582ED2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6BDBDD4" wp14:editId="6828611A">
            <wp:simplePos x="0" y="0"/>
            <wp:positionH relativeFrom="column">
              <wp:posOffset>-24765</wp:posOffset>
            </wp:positionH>
            <wp:positionV relativeFrom="paragraph">
              <wp:posOffset>71120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</w:t>
      </w:r>
      <w:r w:rsidR="00514236">
        <w:rPr>
          <w:rFonts w:eastAsia="+mn-ea"/>
          <w:bCs/>
          <w:color w:val="000000"/>
          <w:kern w:val="24"/>
          <w:sz w:val="28"/>
          <w:szCs w:val="28"/>
        </w:rPr>
        <w:t>о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FA09DA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E72760">
        <w:rPr>
          <w:rFonts w:eastAsia="+mn-ea"/>
          <w:bCs/>
          <w:color w:val="000000"/>
          <w:kern w:val="24"/>
          <w:sz w:val="28"/>
          <w:szCs w:val="28"/>
        </w:rPr>
        <w:t>7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Default="00226687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E72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– Руководител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Свердловской области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Тунгусов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Правительстве Свердловской области по адресу: г.</w:t>
      </w:r>
      <w:r w:rsidR="00360BF3">
        <w:rPr>
          <w:lang w:val="en-US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пл. Октябрьская,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удобства граждан предусмотрена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предварительная запись на прием.</w:t>
      </w:r>
    </w:p>
    <w:p w:rsidR="00D351E5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351E5" w:rsidRDefault="00D351E5" w:rsidP="00D351E5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 w:rsidR="00514236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351E5">
        <w:rPr>
          <w:sz w:val="28"/>
          <w:szCs w:val="28"/>
        </w:rPr>
        <w:t>I</w:t>
      </w:r>
      <w:r w:rsidR="00875D4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 </w:t>
      </w:r>
      <w:r w:rsidRPr="00D351E5">
        <w:rPr>
          <w:sz w:val="28"/>
          <w:szCs w:val="28"/>
        </w:rPr>
        <w:t xml:space="preserve">квартале 2017 года </w:t>
      </w:r>
      <w:r w:rsidRPr="00C62648">
        <w:rPr>
          <w:sz w:val="28"/>
          <w:szCs w:val="28"/>
        </w:rPr>
        <w:t xml:space="preserve">проведено </w:t>
      </w:r>
      <w:r w:rsidR="005B720D" w:rsidRPr="001D6C44">
        <w:rPr>
          <w:color w:val="000000" w:themeColor="text1"/>
          <w:sz w:val="28"/>
          <w:szCs w:val="28"/>
        </w:rPr>
        <w:t>1</w:t>
      </w:r>
      <w:r w:rsidR="00875D41">
        <w:rPr>
          <w:color w:val="000000" w:themeColor="text1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1D6C44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было принято </w:t>
      </w:r>
      <w:r w:rsidR="00875D41">
        <w:rPr>
          <w:color w:val="000000" w:themeColor="text1"/>
          <w:sz w:val="28"/>
          <w:szCs w:val="28"/>
        </w:rPr>
        <w:t>42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51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69E"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75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69E"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875D41" w:rsidRDefault="00875D41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(36);</w:t>
      </w:r>
    </w:p>
    <w:p w:rsidR="00875D41" w:rsidRDefault="00875D41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социальных гарантий (27)</w:t>
      </w:r>
      <w:r w:rsidRPr="00875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41" w:rsidRDefault="00B2069E" w:rsidP="00875D41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 (</w:t>
      </w:r>
      <w:r w:rsidR="00875D41" w:rsidRPr="00875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5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D41" w:rsidRDefault="00D351E5" w:rsidP="0087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D41" w:rsidRDefault="00875D41" w:rsidP="0087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41" w:rsidRDefault="00875D41" w:rsidP="0087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41" w:rsidRDefault="00875D41" w:rsidP="0087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41" w:rsidRDefault="00875D41" w:rsidP="0087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исполнения поручений по обращениям граждан</w:t>
      </w:r>
    </w:p>
    <w:p w:rsidR="00D351E5" w:rsidRPr="00803BE1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3"/>
      <w:head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46" w:rsidRDefault="005C4746" w:rsidP="00154BF2">
      <w:pPr>
        <w:spacing w:after="0" w:line="240" w:lineRule="auto"/>
      </w:pPr>
      <w:r>
        <w:separator/>
      </w:r>
    </w:p>
  </w:endnote>
  <w:endnote w:type="continuationSeparator" w:id="0">
    <w:p w:rsidR="005C4746" w:rsidRDefault="005C4746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46" w:rsidRDefault="005C4746" w:rsidP="00154BF2">
      <w:pPr>
        <w:spacing w:after="0" w:line="240" w:lineRule="auto"/>
      </w:pPr>
      <w:r>
        <w:separator/>
      </w:r>
    </w:p>
  </w:footnote>
  <w:footnote w:type="continuationSeparator" w:id="0">
    <w:p w:rsidR="005C4746" w:rsidRDefault="005C4746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E7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5036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0D31DC"/>
    <w:rsid w:val="00101C73"/>
    <w:rsid w:val="00104CB4"/>
    <w:rsid w:val="00110F67"/>
    <w:rsid w:val="00140E29"/>
    <w:rsid w:val="00144E52"/>
    <w:rsid w:val="00146071"/>
    <w:rsid w:val="00146C9E"/>
    <w:rsid w:val="00152C50"/>
    <w:rsid w:val="00154BF2"/>
    <w:rsid w:val="00173EDD"/>
    <w:rsid w:val="001824C8"/>
    <w:rsid w:val="001916D5"/>
    <w:rsid w:val="001A2B3A"/>
    <w:rsid w:val="001A69DD"/>
    <w:rsid w:val="001A7EB6"/>
    <w:rsid w:val="001C4FF9"/>
    <w:rsid w:val="001C75B2"/>
    <w:rsid w:val="001D2CD2"/>
    <w:rsid w:val="001D6C44"/>
    <w:rsid w:val="001E083E"/>
    <w:rsid w:val="001E2D85"/>
    <w:rsid w:val="001E3076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3D88"/>
    <w:rsid w:val="00234B77"/>
    <w:rsid w:val="002368E7"/>
    <w:rsid w:val="002517A3"/>
    <w:rsid w:val="00254B4D"/>
    <w:rsid w:val="00263543"/>
    <w:rsid w:val="00272888"/>
    <w:rsid w:val="002776D3"/>
    <w:rsid w:val="00292C53"/>
    <w:rsid w:val="002A1FF9"/>
    <w:rsid w:val="002A3580"/>
    <w:rsid w:val="002A7313"/>
    <w:rsid w:val="002B257C"/>
    <w:rsid w:val="002B6E41"/>
    <w:rsid w:val="002B7E51"/>
    <w:rsid w:val="002E7485"/>
    <w:rsid w:val="002F4654"/>
    <w:rsid w:val="002F57A6"/>
    <w:rsid w:val="002F6B78"/>
    <w:rsid w:val="00316F76"/>
    <w:rsid w:val="00320C7A"/>
    <w:rsid w:val="003364F6"/>
    <w:rsid w:val="00341285"/>
    <w:rsid w:val="0034624A"/>
    <w:rsid w:val="00352865"/>
    <w:rsid w:val="00352ACC"/>
    <w:rsid w:val="00356070"/>
    <w:rsid w:val="00360BF3"/>
    <w:rsid w:val="0036559E"/>
    <w:rsid w:val="00383276"/>
    <w:rsid w:val="00385994"/>
    <w:rsid w:val="003941F4"/>
    <w:rsid w:val="003A585B"/>
    <w:rsid w:val="003A598D"/>
    <w:rsid w:val="003A5AB7"/>
    <w:rsid w:val="003B0EF4"/>
    <w:rsid w:val="003C7E26"/>
    <w:rsid w:val="003D040E"/>
    <w:rsid w:val="003D3155"/>
    <w:rsid w:val="00404A6F"/>
    <w:rsid w:val="004100EF"/>
    <w:rsid w:val="0042293F"/>
    <w:rsid w:val="00452D29"/>
    <w:rsid w:val="00455E33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69"/>
    <w:rsid w:val="004E0103"/>
    <w:rsid w:val="004E2AA8"/>
    <w:rsid w:val="004F623B"/>
    <w:rsid w:val="00501BE6"/>
    <w:rsid w:val="0051423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A57E5"/>
    <w:rsid w:val="005B06EA"/>
    <w:rsid w:val="005B2FFA"/>
    <w:rsid w:val="005B720D"/>
    <w:rsid w:val="005C4746"/>
    <w:rsid w:val="005C5822"/>
    <w:rsid w:val="005D2595"/>
    <w:rsid w:val="005D6425"/>
    <w:rsid w:val="005E3510"/>
    <w:rsid w:val="00600195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C49BB"/>
    <w:rsid w:val="006D64CA"/>
    <w:rsid w:val="007020D9"/>
    <w:rsid w:val="00704EAB"/>
    <w:rsid w:val="0071284A"/>
    <w:rsid w:val="0072523B"/>
    <w:rsid w:val="00734A57"/>
    <w:rsid w:val="00753367"/>
    <w:rsid w:val="00773AAA"/>
    <w:rsid w:val="007813E6"/>
    <w:rsid w:val="00783422"/>
    <w:rsid w:val="007A30C6"/>
    <w:rsid w:val="007A3925"/>
    <w:rsid w:val="007A3CE9"/>
    <w:rsid w:val="007B2667"/>
    <w:rsid w:val="007B3F94"/>
    <w:rsid w:val="007C6A32"/>
    <w:rsid w:val="007D1DFA"/>
    <w:rsid w:val="007D64EF"/>
    <w:rsid w:val="007E0D96"/>
    <w:rsid w:val="008015A1"/>
    <w:rsid w:val="00803BE1"/>
    <w:rsid w:val="00807EAD"/>
    <w:rsid w:val="00817AD2"/>
    <w:rsid w:val="0082132B"/>
    <w:rsid w:val="00842E0E"/>
    <w:rsid w:val="0084364B"/>
    <w:rsid w:val="00844D1B"/>
    <w:rsid w:val="00851312"/>
    <w:rsid w:val="00854720"/>
    <w:rsid w:val="00873B1B"/>
    <w:rsid w:val="00875300"/>
    <w:rsid w:val="00875D41"/>
    <w:rsid w:val="00880284"/>
    <w:rsid w:val="00883667"/>
    <w:rsid w:val="00885437"/>
    <w:rsid w:val="00890AA1"/>
    <w:rsid w:val="00894F8E"/>
    <w:rsid w:val="008A1907"/>
    <w:rsid w:val="008A6D11"/>
    <w:rsid w:val="008B6C88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2FF9"/>
    <w:rsid w:val="00986965"/>
    <w:rsid w:val="00990CDD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219B"/>
    <w:rsid w:val="00AC4F04"/>
    <w:rsid w:val="00AD2410"/>
    <w:rsid w:val="00AD36EB"/>
    <w:rsid w:val="00AD79FA"/>
    <w:rsid w:val="00AF1DDE"/>
    <w:rsid w:val="00B15E26"/>
    <w:rsid w:val="00B2069E"/>
    <w:rsid w:val="00B213F1"/>
    <w:rsid w:val="00B34B9E"/>
    <w:rsid w:val="00B4093D"/>
    <w:rsid w:val="00B464E0"/>
    <w:rsid w:val="00B52766"/>
    <w:rsid w:val="00B776D4"/>
    <w:rsid w:val="00B808DE"/>
    <w:rsid w:val="00B8270A"/>
    <w:rsid w:val="00B904B4"/>
    <w:rsid w:val="00BC34EE"/>
    <w:rsid w:val="00BC67AE"/>
    <w:rsid w:val="00BD51DD"/>
    <w:rsid w:val="00BD7E9B"/>
    <w:rsid w:val="00C060D5"/>
    <w:rsid w:val="00C108CD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C5952"/>
    <w:rsid w:val="00CD3682"/>
    <w:rsid w:val="00CF14BF"/>
    <w:rsid w:val="00D014B1"/>
    <w:rsid w:val="00D15E92"/>
    <w:rsid w:val="00D17406"/>
    <w:rsid w:val="00D20E86"/>
    <w:rsid w:val="00D314ED"/>
    <w:rsid w:val="00D349A8"/>
    <w:rsid w:val="00D34A42"/>
    <w:rsid w:val="00D351E5"/>
    <w:rsid w:val="00D40631"/>
    <w:rsid w:val="00D4311A"/>
    <w:rsid w:val="00D46226"/>
    <w:rsid w:val="00D509EB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F6B34"/>
    <w:rsid w:val="00E07B2E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36D"/>
    <w:rsid w:val="00F62AA2"/>
    <w:rsid w:val="00F65CDD"/>
    <w:rsid w:val="00F917F4"/>
    <w:rsid w:val="00F93EDD"/>
    <w:rsid w:val="00F9522F"/>
    <w:rsid w:val="00FA09DA"/>
    <w:rsid w:val="00FA12C6"/>
    <w:rsid w:val="00FB76F6"/>
    <w:rsid w:val="00FB7909"/>
    <w:rsid w:val="00FC2027"/>
    <w:rsid w:val="00FC3123"/>
    <w:rsid w:val="00FC3723"/>
    <w:rsid w:val="00FC7582"/>
    <w:rsid w:val="00FD1E1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2017 года</c:v>
                </c:pt>
                <c:pt idx="1">
                  <c:v>II квартал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484</c:v>
                </c:pt>
                <c:pt idx="1">
                  <c:v>666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2017 года</c:v>
                </c:pt>
                <c:pt idx="1">
                  <c:v>II квартал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1044</c:v>
                </c:pt>
                <c:pt idx="1">
                  <c:v>1321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091816"/>
        <c:axId val="237092208"/>
      </c:barChart>
      <c:catAx>
        <c:axId val="237091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7092208"/>
        <c:crosses val="autoZero"/>
        <c:auto val="1"/>
        <c:lblAlgn val="ctr"/>
        <c:lblOffset val="100"/>
        <c:noMultiLvlLbl val="0"/>
      </c:catAx>
      <c:valAx>
        <c:axId val="237092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7091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4204697281056E-2"/>
          <c:y val="0.1209733272869687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442165659526696E-3"/>
                  <c:y val="-6.997636421101811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188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</c:v>
                </c:pt>
                <c:pt idx="1">
                  <c:v>132</c:v>
                </c:pt>
                <c:pt idx="2">
                  <c:v>188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759880"/>
        <c:axId val="237092992"/>
      </c:lineChart>
      <c:catAx>
        <c:axId val="14775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092992"/>
        <c:crosses val="autoZero"/>
        <c:auto val="1"/>
        <c:lblAlgn val="ctr"/>
        <c:lblOffset val="100"/>
        <c:noMultiLvlLbl val="0"/>
      </c:catAx>
      <c:valAx>
        <c:axId val="23709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59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520</c:v>
                </c:pt>
                <c:pt idx="1">
                  <c:v>431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  <c:pt idx="1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169</c:v>
                </c:pt>
                <c:pt idx="1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115</c:v>
                </c:pt>
                <c:pt idx="1">
                  <c:v>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133</c:v>
                </c:pt>
                <c:pt idx="1">
                  <c:v>137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139</c:v>
                </c:pt>
                <c:pt idx="1">
                  <c:v>104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129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093776"/>
        <c:axId val="237094168"/>
      </c:barChart>
      <c:catAx>
        <c:axId val="23709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094168"/>
        <c:crosses val="autoZero"/>
        <c:auto val="1"/>
        <c:lblAlgn val="ctr"/>
        <c:lblOffset val="100"/>
        <c:noMultiLvlLbl val="0"/>
      </c:catAx>
      <c:valAx>
        <c:axId val="237094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37093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4050198592432583"/>
                  <c:y val="1.326119511134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833301325139236E-2"/>
                  <c:y val="5.31291921843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1881228261101507E-2"/>
                  <c:y val="2.08737241178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Серовский городской округ</c:v>
                </c:pt>
                <c:pt idx="4">
                  <c:v>город Каменск-Уральский</c:v>
                </c:pt>
                <c:pt idx="5">
                  <c:v>Полевской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431</c:v>
                </c:pt>
                <c:pt idx="1">
                  <c:v>49</c:v>
                </c:pt>
                <c:pt idx="2">
                  <c:v>44</c:v>
                </c:pt>
                <c:pt idx="3">
                  <c:v>19</c:v>
                </c:pt>
                <c:pt idx="4">
                  <c:v>25</c:v>
                </c:pt>
                <c:pt idx="5">
                  <c:v>15</c:v>
                </c:pt>
                <c:pt idx="6">
                  <c:v>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565</c:v>
                </c:pt>
                <c:pt idx="1">
                  <c:v>379</c:v>
                </c:pt>
                <c:pt idx="2">
                  <c:v>377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370</c:v>
                </c:pt>
                <c:pt idx="1">
                  <c:v>322</c:v>
                </c:pt>
                <c:pt idx="2">
                  <c:v>352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7095344"/>
        <c:axId val="237095736"/>
        <c:axId val="0"/>
      </c:bar3DChart>
      <c:catAx>
        <c:axId val="23709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37095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709573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0953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государственной службы и кадров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573944"/>
        <c:axId val="239574336"/>
        <c:axId val="0"/>
      </c:bar3DChart>
      <c:catAx>
        <c:axId val="23957394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9574336"/>
        <c:crosses val="autoZero"/>
        <c:auto val="1"/>
        <c:lblAlgn val="ctr"/>
        <c:lblOffset val="100"/>
        <c:noMultiLvlLbl val="0"/>
      </c:catAx>
      <c:valAx>
        <c:axId val="2395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573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1062-8EEA-452E-B414-2CB74F16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Воронина Яна Сергеевна</cp:lastModifiedBy>
  <cp:revision>27</cp:revision>
  <cp:lastPrinted>2017-07-12T09:01:00Z</cp:lastPrinted>
  <dcterms:created xsi:type="dcterms:W3CDTF">2017-07-11T09:14:00Z</dcterms:created>
  <dcterms:modified xsi:type="dcterms:W3CDTF">2017-07-12T10:58:00Z</dcterms:modified>
</cp:coreProperties>
</file>