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16" w:before="0" w:after="0"/>
        <w:ind w:left="8647" w:right="-232" w:hanging="0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ПРИЛОЖЕНИЕ</w:t>
      </w:r>
    </w:p>
    <w:p>
      <w:pPr>
        <w:pStyle w:val="Normal"/>
        <w:spacing w:lineRule="auto" w:line="216" w:before="0" w:after="0"/>
        <w:ind w:left="8647" w:right="-232" w:hanging="0"/>
        <w:rPr>
          <w:rFonts w:ascii="Times New Roman" w:hAnsi="Times New Roman"/>
          <w:color w:val="000000"/>
        </w:rPr>
      </w:pPr>
      <w:r>
        <w:rPr>
          <w:rFonts w:cs="Liberation Serif" w:ascii="Times New Roman" w:hAnsi="Times New Roman"/>
          <w:color w:val="000000"/>
          <w:sz w:val="24"/>
          <w:szCs w:val="24"/>
        </w:rPr>
        <w:t xml:space="preserve">к отчету об оценке коррупционных рисков </w:t>
      </w:r>
    </w:p>
    <w:p>
      <w:pPr>
        <w:pStyle w:val="Normal"/>
        <w:spacing w:lineRule="auto" w:line="216" w:before="0" w:after="0"/>
        <w:ind w:left="8647" w:right="-232" w:hanging="0"/>
        <w:rPr>
          <w:rFonts w:ascii="Times New Roman" w:hAnsi="Times New Roman"/>
          <w:color w:val="000000"/>
        </w:rPr>
      </w:pPr>
      <w:r>
        <w:rPr>
          <w:rFonts w:cs="Liberation Serif" w:ascii="Times New Roman" w:hAnsi="Times New Roman"/>
          <w:color w:val="000000"/>
          <w:sz w:val="24"/>
          <w:szCs w:val="24"/>
        </w:rPr>
        <w:t>при осуществлении закупок товаров, работ, услуг для нужд ГАУ «</w:t>
      </w:r>
      <w:r>
        <w:rPr>
          <w:rFonts w:cs="Liberation Serif" w:ascii="Times New Roman" w:hAnsi="Times New Roman"/>
          <w:color w:val="000000"/>
          <w:sz w:val="24"/>
          <w:szCs w:val="24"/>
        </w:rPr>
        <w:t>Тавдинский</w:t>
      </w:r>
      <w:r>
        <w:rPr>
          <w:rFonts w:cs="Liberation Serif" w:ascii="Times New Roman" w:hAnsi="Times New Roman"/>
          <w:color w:val="000000"/>
          <w:sz w:val="24"/>
          <w:szCs w:val="24"/>
        </w:rPr>
        <w:t xml:space="preserve"> ПНИ»</w:t>
      </w:r>
    </w:p>
    <w:p>
      <w:pPr>
        <w:pStyle w:val="Normal"/>
        <w:spacing w:lineRule="auto" w:line="216" w:before="0" w:after="0"/>
        <w:ind w:left="8647" w:right="-235" w:hanging="0"/>
        <w:jc w:val="both"/>
        <w:rPr>
          <w:rFonts w:ascii="Times New Roman" w:hAnsi="Times New Roman" w:cs="Liberation Serif"/>
          <w:color w:val="000000"/>
          <w:sz w:val="24"/>
          <w:szCs w:val="24"/>
        </w:rPr>
      </w:pPr>
      <w:r>
        <w:rPr>
          <w:rFonts w:cs="Liberation Serif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16" w:before="0" w:after="0"/>
        <w:ind w:right="-235" w:hanging="0"/>
        <w:jc w:val="center"/>
        <w:rPr>
          <w:rFonts w:ascii="Times New Roman" w:hAnsi="Times New Roman"/>
          <w:color w:val="000000"/>
        </w:rPr>
      </w:pPr>
      <w:r>
        <w:rPr>
          <w:rFonts w:cs="Liberation Serif" w:ascii="Times New Roman" w:hAnsi="Times New Roman"/>
          <w:color w:val="000000"/>
          <w:sz w:val="24"/>
          <w:szCs w:val="24"/>
        </w:rPr>
        <w:t>КАРТА</w:t>
      </w:r>
    </w:p>
    <w:p>
      <w:pPr>
        <w:pStyle w:val="Normal"/>
        <w:spacing w:lineRule="auto" w:line="216" w:before="0" w:after="0"/>
        <w:ind w:right="-235" w:hanging="0"/>
        <w:jc w:val="center"/>
        <w:rPr>
          <w:rFonts w:ascii="Times New Roman" w:hAnsi="Times New Roman"/>
          <w:color w:val="000000"/>
        </w:rPr>
      </w:pPr>
      <w:r>
        <w:rPr>
          <w:rFonts w:cs="Liberation Serif" w:ascii="Times New Roman" w:hAnsi="Times New Roman"/>
          <w:color w:val="000000"/>
          <w:sz w:val="24"/>
          <w:szCs w:val="24"/>
        </w:rPr>
        <w:t xml:space="preserve">коррупционных рисков и мер по их минимизации при осуществлении </w:t>
        <w:br/>
        <w:t>закупок товаров, работ, услуг для нужд ГАУ «</w:t>
      </w:r>
      <w:r>
        <w:rPr>
          <w:rFonts w:cs="Liberation Serif" w:ascii="Times New Roman" w:hAnsi="Times New Roman"/>
          <w:color w:val="000000"/>
          <w:sz w:val="24"/>
          <w:szCs w:val="24"/>
        </w:rPr>
        <w:t>Тавдинский</w:t>
      </w:r>
      <w:r>
        <w:rPr>
          <w:rFonts w:cs="Liberation Serif" w:ascii="Times New Roman" w:hAnsi="Times New Roman"/>
          <w:color w:val="000000"/>
          <w:sz w:val="24"/>
          <w:szCs w:val="24"/>
        </w:rPr>
        <w:t xml:space="preserve"> ПНИ»  </w:t>
      </w:r>
      <w:bookmarkStart w:id="0" w:name="_GoBack"/>
      <w:bookmarkEnd w:id="0"/>
    </w:p>
    <w:p>
      <w:pPr>
        <w:pStyle w:val="Normal"/>
        <w:spacing w:lineRule="auto" w:line="216" w:before="0" w:after="0"/>
        <w:ind w:right="-235" w:hanging="0"/>
        <w:jc w:val="both"/>
        <w:rPr>
          <w:rFonts w:ascii="Times New Roman" w:hAnsi="Times New Roman" w:cs="Liberation Serif"/>
          <w:color w:val="000000"/>
          <w:sz w:val="24"/>
          <w:szCs w:val="24"/>
        </w:rPr>
      </w:pPr>
      <w:r>
        <w:rPr>
          <w:rFonts w:cs="Liberation Serif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16" w:before="0" w:after="0"/>
        <w:ind w:right="-235" w:hanging="0"/>
        <w:jc w:val="both"/>
        <w:rPr>
          <w:rFonts w:ascii="Times New Roman" w:hAnsi="Times New Roman" w:cs="Liberation Serif"/>
          <w:color w:val="000000"/>
          <w:sz w:val="24"/>
          <w:szCs w:val="24"/>
        </w:rPr>
      </w:pPr>
      <w:r>
        <w:rPr>
          <w:rFonts w:cs="Liberation Serif" w:ascii="Times New Roman" w:hAnsi="Times New Roman"/>
          <w:color w:val="000000"/>
          <w:sz w:val="24"/>
          <w:szCs w:val="24"/>
        </w:rPr>
      </w:r>
    </w:p>
    <w:tbl>
      <w:tblPr>
        <w:tblW w:w="14531" w:type="dxa"/>
        <w:jc w:val="left"/>
        <w:tblInd w:w="-1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92"/>
        <w:gridCol w:w="2552"/>
        <w:gridCol w:w="2836"/>
        <w:gridCol w:w="2267"/>
        <w:gridCol w:w="3189"/>
        <w:gridCol w:w="2694"/>
      </w:tblGrid>
      <w:tr>
        <w:trPr>
          <w:trHeight w:val="498" w:hRule="atLeast"/>
        </w:trPr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Номер строки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Коррупционный риск (действие)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Краткое описание возможной коррупционной схемы</w:t>
            </w:r>
          </w:p>
        </w:tc>
        <w:tc>
          <w:tcPr>
            <w:tcW w:w="2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Меры по минимизации коррупционных рисков</w:t>
            </w:r>
          </w:p>
        </w:tc>
      </w:tr>
      <w:tr>
        <w:trPr>
          <w:trHeight w:val="897" w:hRule="atLeast"/>
        </w:trPr>
        <w:tc>
          <w:tcPr>
            <w:tcW w:w="9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5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8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2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реализуемые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предлагаемые</w:t>
            </w:r>
          </w:p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16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tbl>
      <w:tblPr>
        <w:tblW w:w="14531" w:type="dxa"/>
        <w:jc w:val="left"/>
        <w:tblInd w:w="-1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92"/>
        <w:gridCol w:w="2552"/>
        <w:gridCol w:w="2836"/>
        <w:gridCol w:w="2267"/>
        <w:gridCol w:w="3189"/>
        <w:gridCol w:w="2694"/>
      </w:tblGrid>
      <w:tr>
        <w:trPr>
          <w:tblHeader w:val="true"/>
          <w:trHeight w:val="202" w:hRule="atLeast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>
        <w:trPr>
          <w:trHeight w:val="469" w:hRule="atLeast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Формирование документации о закупке товаров, работ, услуг </w:t>
              <w:br/>
              <w:t xml:space="preserve">(далее – закупки)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для нужд ГАУ «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Тавдинский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ПНИ»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умышленное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включение в документацию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 закупке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, в том числе в описание объектов закупок, требований и условий,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влекущих ограничение количества участников закупок;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умышленное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установление требований, предполагающих преимущество для отдельных участников закупок;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умышленное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включение в документацию о закупке закупок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, не соотносимых с целями деятельности и потребностями Учреждения, в том числе закупка расходных материалов, комплектующих, к оборудованию, отсутствующему в Учреждении, услуг по техническому обслуживанию и ремонту такого оборудования;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умышленное планирование в документации о закупке закупок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в объеме, превышающем годовую потребность Учреждения, в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интересах отдельных участников закупок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умышленное превышение объема финансового обеспечения для осуществления конкретных закупок, предусмотренных планом закупок,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в интересах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отдельных участников закупок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умышленное включение в документацию о закупке закупок, не предусмотренных планомзакупок,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в интересах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отдельных участников закупок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работники Учреждения,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участвующие в осуществлении закупок (далее – лица, участвующие в осуществлении закупок)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использование Информационной системы в сфере закупок Свердловской области для подготовки документации о закупке;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использование типовых договоров, разработанных уполномоченными органами;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исключение принятия единоличных решений при осуществлении закупок: согласование документации о закупке (проектов договоров) с кругом лиц, без участия (согласования) которых не может быть принято решение о закупке;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проведение правовой экспертизы документации о закупке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, в том числе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проекта договоров;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анализ и оценка выполнения требований к описанию объектов закупок;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анализ планируемых к закупке товаров (работ, услуг) и их обоснованности с учетом целей деятельности и потребностей Учреждения, планового объема финансового обеспечения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конкретных закупок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, плана закупок;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соблюдение правил нормирования закупок с учетом приказов Учреждения, регламентирующих </w:t>
            </w:r>
            <w:r>
              <w:rPr>
                <w:rFonts w:cs="Liberation Serif" w:ascii="Times New Roman" w:hAnsi="Times New Roman"/>
                <w:bCs/>
                <w:color w:val="000000"/>
                <w:sz w:val="24"/>
                <w:szCs w:val="24"/>
              </w:rPr>
              <w:t xml:space="preserve">нормативные затраты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для обоснования объектов закупок, и ведомственный перечень отдельных видов товаров, работ, услуг, их потребительских свойств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(в том числе качество) и иных характеристик (в том числе предельных цен товаров, работ, услуг) к ним, закупаемых для нужд Учреждения;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мониторинг нарушений, выявленных уполномоченными органами, </w:t>
              <w:br/>
              <w:t>в целях корректировки условий, включаемых в документацию о закупке, в том числе в проект договора, описание объекта закупок;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мониторинг информации о возможных коррупционных правонарушениях, совершенных работниками Учреждения и иных учреждений, в том числе в средствах массовой информации, обращениях граждан и организаций, включая сообщения, поступившие посредством телефона доверия для сообщений информации о коррупционных проявлениях;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 коррупционными рисками;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ознакомление лиц, участвующих в осуществлении закупок, с 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 мерами ответственности за совершение коррупционных правонарушений, в том числе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за непринятие мер по предотвращению и (или) урегулированию конфликта интересов;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вышение квалификации лиц, участвующих в осуществлении закупок (направление для обучения по дополнительной профессиональной программе по вопросам, связанным с осуществлением закупок); </w:t>
              <w:br/>
              <w:t>проведение разъяснительной работы с лицами, участвующими в осуществлении закупок по вопросам: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обязанности незамедлительно уведомлять представителя нанимателя (работодателя) о склонении к совершению коррупционного правонарушения;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обязанности принимать меры по предотвращению и урегулированию конфликта интересов, о порядке урегулирования конфликта интересов или возможности возникновения конфликта интересов, в том числе уведомления работодателя о возникновении 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  <w:bookmarkStart w:id="1" w:name="P123"/>
            <w:bookmarkEnd w:id="1"/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дополнительно к реализуемым: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декларация о возможной личной заинтересованности при осуществлении закупок, которая приводит или может привести к конфликту (далее – декларация о возможной личной заинтересованности);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формирование профиля лиц, участвующих в осуществлении закупок,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членов комиссии  по осуществлению закупок товаров, работ, услуг для нужд Учреждения (далее – члены единой комиссии)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(с учетом информации о родственниках, свойственниках, декларации о возможной личной заинтересованности, общедоступной информации в информационно-коммуникационной сети «Интернет»), для выявления возможных связей, свидетельствующих о наличии у них личной заинтересованности;</w:t>
            </w:r>
          </w:p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 соблюдением требований о предотвращении или урегулировании конфликта интересов, исполнения обязанностей, установленных Федеральным законом</w:t>
              <w:br/>
              <w:t>от 25 декабря 2008 года № 273-ФЗ «О противодействии коррупции» и другими федеральными законами, уделяя особое внимание вопросам, связанным с личной заинтересованностью, которая влияет или может повлиять на надлежащее, объективное и беспристрастное осуществление закупок;</w:t>
            </w:r>
          </w:p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по</w:t>
            </w: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вышение квалификации лиц, участвующих в осуществлении закупок (направление для обучения по дополнительной профессиональной программе по вопросам</w:t>
            </w: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профилактики и противодействия коррупции)</w:t>
            </w:r>
          </w:p>
        </w:tc>
      </w:tr>
      <w:tr>
        <w:trPr>
          <w:trHeight w:val="552" w:hRule="atLeast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Определение начальной (максимальной) цены договора, начальной цены за единицу товара (работы, услуги)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искусственное завышение (занижение) начальной (максимальной) цены </w:t>
            </w:r>
            <w:r>
              <w:rPr>
                <w:rFonts w:cs="Liberation Serif" w:ascii="Times New Roman" w:hAnsi="Times New Roman"/>
                <w:bCs/>
                <w:color w:val="000000"/>
                <w:sz w:val="24"/>
                <w:szCs w:val="24"/>
              </w:rPr>
              <w:t xml:space="preserve">  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договора, начальной цены за единицу товара (работы, услуги) в интересах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отдельных участников закупок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умышленное направление запросов в рамках мониторинга цен на товары (работы, услуги) одним и тем же юридическим лицам, индивидуальным предпринимателям, в целях завышения (занижения) начальной (максимальной) цены </w:t>
            </w:r>
            <w:r>
              <w:rPr>
                <w:rFonts w:cs="Liberation Serif" w:ascii="Times New Roman" w:hAnsi="Times New Roman"/>
                <w:bCs/>
                <w:color w:val="000000"/>
                <w:sz w:val="24"/>
                <w:szCs w:val="24"/>
              </w:rPr>
              <w:t xml:space="preserve">  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договора, начальной цены за единицу товара (работы, услуги) в интересах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отдельных участников закупок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умышленное включение в запросы в рамках мониторинга цен на товары (работы, услуги) описания объекта закупок, не соответствующего описанию объекта закупок, включаемого в документацию о закупке,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в целях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завышения (занижения) начальной (максимальной) цены </w:t>
            </w:r>
            <w:r>
              <w:rPr>
                <w:rFonts w:cs="Liberation Serif" w:ascii="Times New Roman" w:hAnsi="Times New Roman"/>
                <w:bCs/>
                <w:color w:val="000000"/>
                <w:sz w:val="24"/>
                <w:szCs w:val="24"/>
              </w:rPr>
              <w:t xml:space="preserve"> 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договора, начальной цены за единицу товара (работы, услуги) в интересах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отдельных участников закупок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умышленное превышение объема финансового обеспечения для осуществления конкретных закупок, предусмотренного планом закупок, в интересах отдельных участников закупок,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умышленное включение в документацию о закупке закупок, не предусмотренных планом закупок, в интересах отдельных участников закупок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работники Учреждения, участвующие в определении начальной (максимальной) цены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начальной цены за единицу товара (работы, услуги)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использование стандартизированных процедур при определении начальной (максимальной) цены договора, начальной цены за единицу товара (работы, услуги);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обязательное обоснование начальной (максимальной) цены договора, начальной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цены за единицу товара (работы, услуги), включая закупки с единственным поставщиком (подрядчиком, исполнителем);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проведение мониторинга цен на товары (работы, услуги) в целях недопущения завышения (занижения) начальной (максимальной) цены договора, начальной цены за единицу товара (работы, услуги), включая закупки с единственным поставщиком (подрядчиком, исполнителем);</w:t>
              <w:br/>
              <w:t xml:space="preserve">анализ и оценка начальной (максимальной) цены договора, начальной цены за единицу товара (работы, услуги) и их обоснованности с учетом финансового обеспечения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для осуществления конкретных закупок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, а также закупок, не предусмотренных планом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дополнительно к реализуемым: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анализ и сопоставление информации о юридических лицах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и индивидуальных предпринимателях,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которым направлялись запросы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в рамках мониторинга цен на товары (работы, услуги), с информацией о поставщиках (подрядчиках, исполнителях), закупки </w:t>
              <w:br/>
              <w:t>у которых проводились неконкурентными способами</w:t>
            </w:r>
          </w:p>
        </w:tc>
      </w:tr>
      <w:tr>
        <w:trPr>
          <w:trHeight w:val="558" w:hRule="atLeast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Выбор способа определения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необоснованное деление закупок на несколько отдельных закупок с целью уклонения от конкурентного способа определения поставщика (подрядчика, исполнителя);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срока (периодичности) определения поставщика (подрядчика, исполнителя) для закупки, планируемой осуществить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конкурентным способом, с целью осуществления закупок в конце финансового года у единственного поставщика (исполнителя, подрядчика)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в интересах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отдельных участников закупок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работники Учреждения, участвующие в выборе способа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определения поставщика (подрядчика, исполнителя)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обоснование способа определения поставщика (подрядчика, исполнителя;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способа определения поставщика (подрядчика, исполнителя) таких товаров (работ, услуг);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контроль соблюдения плана закупок, анализ и оценка нарушения сроков (периодичности) осуществления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дополнительно к реализуемым: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сравнительный анализ и оценка информации о юридических лицах и индивидуальных предпринимателях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, которым направлялись запросы и которыми представлены ценовые предложения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в рамках мониторинга цен на товары (работы, услуги)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в целях определения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начальной (максимальной) цены договора, начальной цены за единицу товара (работы, услуги)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, с информацией </w:t>
              <w:br/>
              <w:t>о поставщиках (подрядчиках, исполнителях)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, закупки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у которых проводились неконкурентными способами, и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участниках закупок, предлагаемых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в качестве единственного поставщика (подрядчика, исполнителя)</w:t>
            </w:r>
          </w:p>
        </w:tc>
      </w:tr>
      <w:tr>
        <w:trPr>
          <w:trHeight w:val="1080" w:hRule="atLeast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Оценка заявок на участие в закупках, определение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необоснованное отклонение заявок на участие в закупках (поставщиков, исполнителей, подрядчиков) в целях определения поставщика (исполнителя, подрядчика), аффилированного с руководителями и работниками Учреждения,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членами единой комиссии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работники Учреждения, заинтересованные в определении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поставщика (подрядчика, исполнителя),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члены единой комиссии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формирование профиля участников закупок и (или) определенных по результатам закупок поставщиков (подрядчиков, исполнителей), в том числе субподрядчиков, соисполнителей (с учетом сведений, указанных в заявках на участие в закупках, информации, имеющейся в распоряжении Учреждения, общедоступной информации в информационно-коммуникационной сети «Интернет»);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перекрестный анализ информации, содержащейся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в профилях лиц, участвующих в осуществлении закупок, членов единой комиссии и участников закупок, в целях выявления аффилированности (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личной заинтересованности, неформальных связей)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между участниками закупок и лицами, участвующими в осуществлении закупок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, членами единой комиссии;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ознакомление членов единой комиссии с 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нормативными правовыми актами и методическими материалами, регулирующими вопросы профилактики и противодействия коррупции,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с мерами ответственности за совершение коррупционных правонарушений, в том числе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за непринятие мер по предотвращению</w:t>
              <w:br/>
              <w:t>и (или) урегулированию конфликта интересов;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вышение квалификации членов единой комиссии (направление для обучения по дополнительной профессиональной программе по вопросам, связанным с осуществлением закупок);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проведение разъяснительной работы с  членами единой комиссии по вопросам: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обязанности незамедлительно уведомлять работодателя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 склонении к совершению коррупционного правонарушения;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обязанности принимать меры по предотвращению и урегулированию конфликта интересов, о порядке урегулирования конфликта интересов или возможности возникновения конфликта интересов, в том числе уведомления работодателя о возникновении 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дополнительно к реализуемым:</w:t>
              <w:br/>
              <w:t xml:space="preserve">декларация о возможной личной заинтересованности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лицами, участвующими в осуществлении закупок,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членами единой комиссии;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организация ежегодной добровольной оценки знаний лиц, участвующих в осуществлении закупок,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членов единой комиссии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по вопросам, связанным с соблюдением ограничений и запретов, требований о предотвращении или урегулировании конфликта интересов, исполнения обязанностей, установленных Федеральным законом </w:t>
              <w:br/>
              <w:t xml:space="preserve">от 25 декабря 2008 года № 273-ФЗ «О противодействии коррупции» и другими федеральными законами, уделяя особое внимание вопросам, связанным </w:t>
              <w:br/>
              <w:t>с личной заинтересованностью, которая влияет или может повлиять на надлежащее, объективное и беспристрастное осуществление закупок;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вышение квалификации членов единой комиссии (направление для обучения по дополнительной профессиональной программе по вопросам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профилактики и противодействия коррупции)</w:t>
            </w:r>
          </w:p>
        </w:tc>
      </w:tr>
      <w:tr>
        <w:trPr>
          <w:trHeight w:val="1080" w:hRule="atLeast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Заключение и исполнение договора,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приемка результатов </w:t>
            </w:r>
            <w:r>
              <w:rPr>
                <w:rFonts w:cs="Liberation Serif" w:ascii="Times New Roman" w:hAnsi="Times New Roman"/>
                <w:bCs/>
                <w:color w:val="000000"/>
                <w:sz w:val="24"/>
                <w:szCs w:val="24"/>
              </w:rPr>
              <w:t>поставленных товаров, результатов выполненных работ,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оказанных услуг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заключение договора без предоставления обеспечения исполнения договора в интересах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отдельных участников закупок, в случае если такое требование было установлено документацией о закупке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необоснованное изменение условий договора в интересах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отдельных участников закупок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необоснованное изменение сроков приемки товаров (работ, услуг), в том числе этапов исполнения договора в интересах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отдельных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поставщиков (подрядчиков, исполнителей);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приемка товаров (работ, услуг), не соответствующих условиям договора,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в интересах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отдельных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поставщиков (подрядчиков, исполнителей)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подписание актов приемки непоставленных товаров (невыполненных работ, неоказанных услуг);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сокрытие информации о выявленных нарушениях при исполнении договора (приемке товаров, работ, услуг)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в интересах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отдельных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поставщиков (подрядчиков, исполнителей)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неприменение мер ответственности в случае нарушения поставщиком (подрядчиком, исполнителем) условий договора в интересах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отдельных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поставщиков (подрядчиков, исполнителей)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лица, участвующие в осуществлении закупок, а также работники Учреждения,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участвующие в приемке товаров (работ, услуг)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использование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2">
              <w:r>
                <w:rPr>
                  <w:rFonts w:cs="Liberation Serif" w:ascii="Times New Roman" w:hAnsi="Times New Roman"/>
                  <w:color w:val="000000"/>
                  <w:sz w:val="24"/>
                  <w:szCs w:val="24"/>
                </w:rPr>
                <w:t>www.torgi.midural.ru</w:t>
              </w:r>
            </w:hyperlink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)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применение мер ответственности в случае нарушения поставщиком (подрядчиком, исполнителем) условий договора;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контроль соблюдения сроков и порядка заключения договора, предоставления обеспечения исполнения договора, приемки товаров (работ, услуг), в том числе этапов исполнения договора;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анализ и оценка обоснованности изменения условий договора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, в случае если возможность изменения условий договора была предусмотрена договором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(изменение цены    договора,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количества поставляемого товара, объема выполняемой работы, оказываемой услуги)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; неприменения мер ответственности в случае нарушения поставщиком (подрядчиком, исполнителем) условий договора;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ознакомление лиц, участвующих в осуществлении закупок, с 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нормативными правовыми актами и методическими материалами, регулирующими вопросы профилактики и противодействия коррупции,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с мерами ответственности за совершение коррупционных правонарушений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дополнительно к реализуемым: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привлечение специалистов, обладающих специальными знаниями, к приемке поставленных товаров (выполненных работ (их результатов), оказанных услуг) по договору, если данная закупка подпадает под критерии выбора закупок товаров, работ, услуг с повышенными коррупционными рисками</w:t>
            </w:r>
          </w:p>
        </w:tc>
      </w:tr>
    </w:tbl>
    <w:p>
      <w:pPr>
        <w:pStyle w:val="Normal"/>
        <w:spacing w:lineRule="auto" w:line="216" w:before="0" w:after="0"/>
        <w:ind w:right="-235" w:hanging="0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sectPr>
      <w:type w:val="nextPage"/>
      <w:pgSz w:orient="landscape" w:w="16838" w:h="11906"/>
      <w:pgMar w:left="1134" w:right="1134" w:header="0" w:top="568" w:footer="0" w:bottom="851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2" w:before="0" w:after="160"/>
      <w:jc w:val="left"/>
      <w:textAlignment w:val="baseline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pPr>
      <w:ind w:left="720" w:hanging="0"/>
    </w:pPr>
    <w:rPr/>
  </w:style>
  <w:style w:type="paragraph" w:styleId="ConsPlusNormal" w:customStyle="1">
    <w:name w:val="ConsPlusNormal"/>
    <w:qFormat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eastAsia="Times New Roman" w:cs="Calibri" w:ascii="Calibri" w:hAnsi="Calibri"/>
      <w:color w:val="auto"/>
      <w:kern w:val="0"/>
      <w:sz w:val="22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torgi.midural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LibreOffice/7.1.4.2$Windows_X86_64 LibreOffice_project/a529a4fab45b75fefc5b6226684193eb000654f6</Application>
  <AppVersion>15.0000</AppVersion>
  <Pages>10</Pages>
  <Words>1820</Words>
  <Characters>14118</Characters>
  <CharactersWithSpaces>15855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2021-10-14T04:40:00Z</dcterms:created>
  <dc:creator>Захарова Наталья Николаевна</dc:creator>
  <dc:description/>
  <dc:language>ru-RU</dc:language>
  <cp:lastModifiedBy/>
  <dcterms:modified xsi:type="dcterms:W3CDTF">2021-12-02T14:21:18Z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