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16" w:before="0" w:after="0"/>
        <w:ind w:left="8647" w:right="-232" w:hanging="0"/>
        <w:jc w:val="right"/>
        <w:rPr>
          <w:rFonts w:ascii="Times New Roman" w:hAnsi="Times New Roman"/>
          <w:color w:val="000000"/>
        </w:rPr>
      </w:pPr>
      <w:r>
        <w:rPr>
          <w:rFonts w:cs="Liberation Serif" w:ascii="Times New Roman" w:hAnsi="Times New Roman"/>
          <w:color w:val="000000"/>
          <w:sz w:val="24"/>
          <w:szCs w:val="24"/>
        </w:rPr>
        <w:t>ПРИЛОЖЕНИЕ</w:t>
      </w:r>
    </w:p>
    <w:p>
      <w:pPr>
        <w:pStyle w:val="Normal"/>
        <w:spacing w:lineRule="auto" w:line="216" w:before="0" w:after="0"/>
        <w:ind w:right="-235" w:hanging="0"/>
        <w:jc w:val="right"/>
        <w:rPr>
          <w:rFonts w:ascii="Times New Roman" w:hAnsi="Times New Roman"/>
          <w:color w:val="000000"/>
        </w:rPr>
      </w:pPr>
      <w:r>
        <w:rPr>
          <w:rFonts w:cs="Liberation Serif" w:ascii="Times New Roman" w:hAnsi="Times New Roman"/>
          <w:color w:val="000000"/>
          <w:sz w:val="24"/>
          <w:szCs w:val="24"/>
        </w:rPr>
        <w:t xml:space="preserve">к отчету об оценке коррупционных рисков </w:t>
      </w:r>
    </w:p>
    <w:p>
      <w:pPr>
        <w:pStyle w:val="Normal"/>
        <w:spacing w:lineRule="auto" w:line="216" w:before="0" w:after="0"/>
        <w:ind w:right="-235" w:hanging="0"/>
        <w:jc w:val="right"/>
        <w:rPr>
          <w:rFonts w:ascii="Times New Roman" w:hAnsi="Times New Roman"/>
          <w:color w:val="000000"/>
        </w:rPr>
      </w:pPr>
      <w:r>
        <w:rPr>
          <w:rFonts w:cs="Liberation Serif" w:ascii="Times New Roman" w:hAnsi="Times New Roman"/>
          <w:color w:val="000000"/>
          <w:sz w:val="24"/>
          <w:szCs w:val="24"/>
        </w:rPr>
        <w:t xml:space="preserve">при осуществлении закупок товаров, работ, услуг </w:t>
      </w:r>
    </w:p>
    <w:p>
      <w:pPr>
        <w:pStyle w:val="Normal"/>
        <w:spacing w:lineRule="auto" w:line="216" w:before="0" w:after="0"/>
        <w:ind w:right="-235" w:hanging="0"/>
        <w:jc w:val="right"/>
        <w:rPr>
          <w:rFonts w:ascii="Times New Roman" w:hAnsi="Times New Roman"/>
          <w:color w:val="000000"/>
        </w:rPr>
      </w:pPr>
      <w:r>
        <w:rPr>
          <w:rFonts w:cs="Liberation Serif" w:ascii="Times New Roman" w:hAnsi="Times New Roman"/>
          <w:color w:val="000000"/>
          <w:sz w:val="24"/>
          <w:szCs w:val="24"/>
        </w:rPr>
        <w:t>для нужд ГАУ «Тавдинский ПНИ»</w:t>
      </w:r>
    </w:p>
    <w:p>
      <w:pPr>
        <w:pStyle w:val="Normal"/>
        <w:spacing w:lineRule="auto" w:line="216" w:before="0" w:after="0"/>
        <w:ind w:right="-235" w:hanging="0"/>
        <w:jc w:val="both"/>
        <w:rPr>
          <w:rFonts w:ascii="Times New Roman" w:hAnsi="Times New Roman" w:cs="Liberation Serif"/>
          <w:color w:val="000000"/>
          <w:sz w:val="24"/>
          <w:szCs w:val="24"/>
        </w:rPr>
      </w:pPr>
      <w:r>
        <w:rPr>
          <w:rFonts w:cs="Liberation Serif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16" w:before="0" w:after="0"/>
        <w:ind w:left="8647" w:right="-232" w:hanging="0"/>
        <w:rPr>
          <w:rFonts w:ascii="Times New Roman" w:hAnsi="Times New Roman" w:cs="Liberation Serif"/>
          <w:color w:val="000000"/>
          <w:sz w:val="24"/>
          <w:szCs w:val="24"/>
        </w:rPr>
      </w:pPr>
      <w:r>
        <w:rPr>
          <w:rFonts w:cs="Liberation Serif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16" w:before="0" w:after="0"/>
        <w:ind w:right="-235" w:hanging="0"/>
        <w:jc w:val="both"/>
        <w:rPr>
          <w:rFonts w:ascii="Times New Roman" w:hAnsi="Times New Roman" w:cs="Liberation Serif"/>
          <w:color w:val="000000"/>
          <w:sz w:val="24"/>
          <w:szCs w:val="24"/>
        </w:rPr>
      </w:pPr>
      <w:r>
        <w:rPr>
          <w:rFonts w:cs="Liberation Serif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16" w:before="0" w:after="0"/>
        <w:ind w:right="-235" w:hanging="0"/>
        <w:jc w:val="center"/>
        <w:rPr>
          <w:rFonts w:ascii="Times New Roman" w:hAnsi="Times New Roman"/>
          <w:color w:val="000000"/>
        </w:rPr>
      </w:pPr>
      <w:r>
        <w:rPr>
          <w:rFonts w:cs="Liberation Serif" w:ascii="Times New Roman" w:hAnsi="Times New Roman"/>
          <w:b/>
          <w:color w:val="000000"/>
          <w:sz w:val="24"/>
          <w:szCs w:val="24"/>
        </w:rPr>
        <w:t>ПЛАН</w:t>
      </w:r>
    </w:p>
    <w:p>
      <w:pPr>
        <w:pStyle w:val="Normal"/>
        <w:spacing w:lineRule="auto" w:line="216" w:before="0" w:after="0"/>
        <w:ind w:right="-235" w:hanging="0"/>
        <w:jc w:val="center"/>
        <w:rPr>
          <w:rFonts w:ascii="Times New Roman" w:hAnsi="Times New Roman"/>
          <w:color w:val="000000"/>
        </w:rPr>
      </w:pPr>
      <w:r>
        <w:rPr>
          <w:rFonts w:cs="Liberation Serif" w:ascii="Times New Roman" w:hAnsi="Times New Roman"/>
          <w:b/>
          <w:color w:val="000000"/>
          <w:sz w:val="24"/>
          <w:szCs w:val="24"/>
        </w:rPr>
        <w:t xml:space="preserve">мер, направленных на минимизацию коррупционных рисков, возникающих при осуществлении </w:t>
      </w:r>
    </w:p>
    <w:p>
      <w:pPr>
        <w:pStyle w:val="Normal"/>
        <w:spacing w:lineRule="auto" w:line="216" w:before="0" w:after="0"/>
        <w:ind w:right="-235" w:hanging="0"/>
        <w:jc w:val="center"/>
        <w:rPr>
          <w:rFonts w:ascii="Times New Roman" w:hAnsi="Times New Roman"/>
          <w:color w:val="000000"/>
        </w:rPr>
      </w:pPr>
      <w:r>
        <w:rPr>
          <w:rFonts w:cs="Liberation Serif" w:ascii="Times New Roman" w:hAnsi="Times New Roman"/>
          <w:b/>
          <w:color w:val="000000"/>
          <w:sz w:val="24"/>
          <w:szCs w:val="24"/>
        </w:rPr>
        <w:t>закупок товаров, работ, услуг для нужд ГАУ «Тавдинский ПНИ»</w:t>
      </w:r>
    </w:p>
    <w:p>
      <w:pPr>
        <w:pStyle w:val="Normal"/>
        <w:spacing w:lineRule="auto" w:line="216" w:before="0" w:after="0"/>
        <w:ind w:right="-235" w:hanging="0"/>
        <w:jc w:val="both"/>
        <w:rPr>
          <w:rFonts w:ascii="Times New Roman" w:hAnsi="Times New Roman" w:cs="Liberation Serif"/>
          <w:color w:val="000000"/>
          <w:sz w:val="24"/>
          <w:szCs w:val="24"/>
        </w:rPr>
      </w:pPr>
      <w:r>
        <w:rPr>
          <w:rFonts w:cs="Liberation Serif" w:ascii="Times New Roman" w:hAnsi="Times New Roman"/>
          <w:color w:val="000000"/>
          <w:sz w:val="24"/>
          <w:szCs w:val="24"/>
        </w:rPr>
      </w:r>
    </w:p>
    <w:tbl>
      <w:tblPr>
        <w:tblW w:w="14601" w:type="dxa"/>
        <w:jc w:val="left"/>
        <w:tblInd w:w="-1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91"/>
        <w:gridCol w:w="4963"/>
        <w:gridCol w:w="1842"/>
        <w:gridCol w:w="1843"/>
        <w:gridCol w:w="2551"/>
        <w:gridCol w:w="2410"/>
      </w:tblGrid>
      <w:tr>
        <w:trPr>
          <w:trHeight w:val="1167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Номер</w:t>
            </w:r>
          </w:p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строки</w:t>
            </w:r>
          </w:p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Меры по минимизации коррупционных рисков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Коррупционный риск (действие)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Срок (периодичность) реализации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Ответственный за реализацию мер по минимизации коррупционных рисков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Планируемый результат</w:t>
            </w:r>
          </w:p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16" w:before="0"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tbl>
      <w:tblPr>
        <w:tblW w:w="14601" w:type="dxa"/>
        <w:jc w:val="left"/>
        <w:tblInd w:w="-1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91"/>
        <w:gridCol w:w="5075"/>
        <w:gridCol w:w="1872"/>
        <w:gridCol w:w="1701"/>
        <w:gridCol w:w="2551"/>
        <w:gridCol w:w="2410"/>
      </w:tblGrid>
      <w:tr>
        <w:trPr>
          <w:tblHeader w:val="true"/>
          <w:trHeight w:val="202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>
        <w:trPr>
          <w:trHeight w:val="1573" w:hRule="atLeast"/>
        </w:trPr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Использование 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2">
              <w:r>
                <w:rPr>
                  <w:rFonts w:cs="Liberation Serif" w:ascii="Times New Roman" w:hAnsi="Times New Roman"/>
                  <w:color w:val="000000"/>
                  <w:sz w:val="24"/>
                  <w:szCs w:val="24"/>
                </w:rPr>
                <w:t>www.torgi.midural.ru</w:t>
              </w:r>
            </w:hyperlink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) для подготовки документации о закупке</w:t>
            </w:r>
          </w:p>
        </w:tc>
        <w:tc>
          <w:tcPr>
            <w:tcW w:w="1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формирование документации о закупке для нужд Учреждения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Заместитель директора  </w:t>
            </w:r>
            <w:r>
              <w:rPr>
                <w:rFonts w:cs="Liberation Serif" w:ascii="Times New Roman" w:hAnsi="Times New Roman"/>
                <w:i/>
                <w:color w:val="000000"/>
                <w:sz w:val="24"/>
                <w:szCs w:val="24"/>
              </w:rPr>
              <w:t>и специалист по закупкам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, ответственные за осуществление закупок для нужд Учреждения </w:t>
              <w:br/>
              <w:t>(далее – ответственные за осуществление закупок),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работники Учреждения,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участвующие в осуществлении закупок (далее – лица, участвующие в осуществлении закупок),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подразделение (отдел) бухгалтерского учета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и финансово-экономической деятельности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исключение возможности применения коррупционных схем при осуществлении закупок,</w:t>
            </w:r>
          </w:p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применение стандартизированных процедур</w:t>
            </w:r>
          </w:p>
        </w:tc>
      </w:tr>
      <w:tr>
        <w:trPr>
          <w:trHeight w:val="488" w:hRule="atLeast"/>
        </w:trPr>
        <w:tc>
          <w:tcPr>
            <w:tcW w:w="99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Использование типовых контрактов, разработанных уполномоченными органами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</w:r>
          </w:p>
        </w:tc>
      </w:tr>
      <w:tr>
        <w:trPr>
          <w:trHeight w:val="1327" w:hRule="atLeast"/>
        </w:trPr>
        <w:tc>
          <w:tcPr>
            <w:tcW w:w="99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Соблюдение правил нормирования закупок с учетом приказов Учреждения, регламентирующих </w:t>
            </w:r>
            <w:r>
              <w:rPr>
                <w:rFonts w:cs="Liberation Serif" w:ascii="Times New Roman" w:hAnsi="Times New Roman"/>
                <w:bCs/>
                <w:color w:val="000000"/>
                <w:sz w:val="24"/>
                <w:szCs w:val="24"/>
              </w:rPr>
              <w:t xml:space="preserve">нормативные затраты 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для обоснования объектов закупок, и ведомственный перечень отдельных видов товаров, работ, услуг, их потребительских свойств (в том числе качество) и иных характеристик (в том числе предельных цен товаров, работ, услуг) к ним, закупаемых для нужд Учреждения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</w:r>
          </w:p>
        </w:tc>
      </w:tr>
      <w:tr>
        <w:trPr>
          <w:trHeight w:val="402" w:hRule="atLeast"/>
        </w:trPr>
        <w:tc>
          <w:tcPr>
            <w:tcW w:w="99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Анализ и оценка выполнения требований к описанию объектов закупок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</w:r>
          </w:p>
        </w:tc>
      </w:tr>
      <w:tr>
        <w:trPr>
          <w:trHeight w:val="2062" w:hRule="atLeast"/>
        </w:trPr>
        <w:tc>
          <w:tcPr>
            <w:tcW w:w="99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Анализ планируемых к закупке товаров (работ, услуг) и их обоснованности с учетом целей деятельности и потребностей Учреждения, планового объема финансового обеспеч</w:t>
            </w:r>
            <w:r>
              <w:rPr>
                <w:rFonts w:cs="Liberation Serif" w:ascii="Times New Roman" w:hAnsi="Times New Roman"/>
                <w:bCs/>
                <w:color w:val="000000"/>
                <w:sz w:val="24"/>
                <w:szCs w:val="24"/>
              </w:rPr>
              <w:t xml:space="preserve"> договора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ения конкретных закупок, плана-графика закупок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</w:r>
          </w:p>
        </w:tc>
      </w:tr>
      <w:tr>
        <w:trPr>
          <w:trHeight w:val="410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Минимизация принятия единоличных решений при осуществлении закупок: согласование документации о закупке (проектов </w:t>
            </w:r>
            <w:r>
              <w:rPr>
                <w:rFonts w:cs="Liberation Serif" w:ascii="Times New Roman" w:hAnsi="Times New Roman"/>
                <w:bCs/>
                <w:color w:val="000000"/>
                <w:sz w:val="24"/>
                <w:szCs w:val="24"/>
              </w:rPr>
              <w:t>договоров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) с кругом лиц, без участия (согласования) которых не может быть принято решение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при формировании документации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Работники, ответственные за осуществление закупок,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i/>
                <w:i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i/>
                <w:color w:val="000000"/>
                <w:sz w:val="24"/>
                <w:szCs w:val="24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исключение возможности применения коррупционных схем при осуществлении закупок,</w:t>
            </w:r>
          </w:p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</w:t>
            </w:r>
          </w:p>
        </w:tc>
      </w:tr>
      <w:tr>
        <w:trPr>
          <w:trHeight w:val="1080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Проведение правовой экспертизы документации о закупке, в том числе проекта договора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 по закупкам, юрисконсульт, главный бухгалтер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</w:t>
            </w:r>
          </w:p>
        </w:tc>
      </w:tr>
      <w:tr>
        <w:trPr>
          <w:trHeight w:val="1080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Декларация о возможной личной заинтересованности лицами, участвующими в осуществлении закупок, при исполнении должностных обязанностей, которая приводит или может привести к конфликту интересов при осуществлении закупок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специалист, ответственный за работу по профилактике коррупционных и иных правонарушений </w:t>
              <w:br/>
              <w:t>(далее – ответственный за профилактику коррупции),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ответственные за осуществление закупок,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закупок,</w:t>
            </w:r>
          </w:p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выявление конфликта интересов (личной заинтересованности) при осуществлении закупок</w:t>
            </w:r>
          </w:p>
        </w:tc>
      </w:tr>
      <w:tr>
        <w:trPr>
          <w:trHeight w:val="557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Формирование профиля лиц, участвующих в осуществлении закупок, членов единой комиссии (с учетом информации о родственниках, свойственниках, декларации о возможной личной заинтересованности, общедоступной информации в информационно-коммуникационной сети «Интернет») для выявления возможных связей, свидетельствующих о наличии у них личной заинтересованности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ответственный за профилактику коррупции, специалист по закупкам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>
        <w:trPr>
          <w:trHeight w:val="611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№ 273-ФЗ «О противодействии коррупции» и 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ответственный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повышение (улучшение) знаний и умений лиц, участвующих в осуществлении закупок</w:t>
            </w:r>
          </w:p>
        </w:tc>
      </w:tr>
      <w:tr>
        <w:trPr>
          <w:trHeight w:val="2206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Повышение квалификации лиц, участвующих в осуществлении закупок (направление для обучения по дополнительной профессиональной программе по вопросам профилактики и противодействия коррупции и (или) по вопросам, связанным с осуществлением закупок)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ответственный за профилактику коррупции,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специалист по закупкам, юрисконсульт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повышение (улучшение) знаний и умений лиц, участвующих в осуществлении закупок</w:t>
            </w:r>
          </w:p>
        </w:tc>
      </w:tr>
      <w:tr>
        <w:trPr>
          <w:trHeight w:val="424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Мониторинг нарушений, выявленных уполномоченными органами, в целях корректировки условий, включаемых в документацию о закупке, </w:t>
              <w:br/>
              <w:t>в том числе в проект договора и описание объектов закупок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ответственный за профилактику коррупции,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специалист по закупкам, юрисконсульт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исключение возможности применения коррупционных схем при осуществлении закупок</w:t>
            </w:r>
          </w:p>
        </w:tc>
      </w:tr>
      <w:tr>
        <w:trPr>
          <w:trHeight w:val="1080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Мониторинг информации о возможных коррупционных правонарушениях, совершенных работниками Учреждения, в том числе в средствах массовой информации, обращениях граждан и организаций, включая сообщения, поступившие посредством телефона доверия для сообщений информации о коррупционных проявлениях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ответственный за профилактику коррупции,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специалист по закупкам, юрисконсульт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>
        <w:trPr>
          <w:trHeight w:val="424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 коррупционными рисками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ответственный за профилактику коррупции,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специалист по закупкам, юрисконсульт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</w:r>
          </w:p>
        </w:tc>
      </w:tr>
      <w:tr>
        <w:trPr>
          <w:trHeight w:val="1152" w:hRule="atLeast"/>
        </w:trPr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Ознакомление лиц, участвующих в осуществлении закупок, с 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 за непринятие мер по предотвращению и (или) урегулированию конфликта интересов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ответственный за профилактику коррупции, юрисконсульт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>
        <w:trPr>
          <w:trHeight w:val="1020" w:hRule="atLeast"/>
        </w:trPr>
        <w:tc>
          <w:tcPr>
            <w:tcW w:w="99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Проведение разъяснительной работы с лицами, участвующими в осуществлении закупок по вопросам: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обязанности незамедлительно уведомлять работодателя) о склонении к совершению коррупционного правонарушения;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обязанности принимать меры по предотвращению и урегулированию конфликта интересов, о 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</w:r>
          </w:p>
        </w:tc>
      </w:tr>
      <w:tr>
        <w:trPr>
          <w:trHeight w:val="539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Использование стандартизированных процедур при определении начальной (максимальной) цены </w:t>
            </w:r>
            <w:r>
              <w:rPr>
                <w:rFonts w:cs="Liberation Serif" w:ascii="Times New Roman" w:hAnsi="Times New Roman"/>
                <w:bCs/>
                <w:color w:val="000000"/>
                <w:sz w:val="24"/>
                <w:szCs w:val="24"/>
              </w:rPr>
              <w:t>договора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, начальной цены за единицу товара (работы, услуги)</w:t>
            </w:r>
          </w:p>
        </w:tc>
        <w:tc>
          <w:tcPr>
            <w:tcW w:w="1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определение начальной (максимальной) цены </w:t>
            </w:r>
            <w:r>
              <w:rPr>
                <w:rFonts w:cs="Liberation Serif" w:ascii="Times New Roman" w:hAnsi="Times New Roman"/>
                <w:bCs/>
                <w:color w:val="000000"/>
                <w:sz w:val="24"/>
                <w:szCs w:val="24"/>
              </w:rPr>
              <w:t>договора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, начальной цены за единицу товара (работы, услуги)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ответственные за осуществление закупок,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i/>
                <w:color w:val="000000"/>
                <w:sz w:val="24"/>
                <w:szCs w:val="24"/>
              </w:rPr>
              <w:t>руководитель структурного подразделения, работники которого участвуют в осуществлении закупок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работники Учреждения участвующие в определении начальной (максимальной) цены </w:t>
            </w:r>
            <w:r>
              <w:rPr>
                <w:rFonts w:cs="Liberation Serif" w:ascii="Times New Roman" w:hAnsi="Times New Roman"/>
                <w:bCs/>
                <w:color w:val="000000"/>
                <w:sz w:val="24"/>
                <w:szCs w:val="24"/>
              </w:rPr>
              <w:t>договора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, начальной цены за единицу товара (работы, услуги)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 xml:space="preserve">исключение возможности применения коррупционных схем при осуществлении закупок, а также искусственного завышения (занижения) начальной (максимальной) цены </w:t>
            </w:r>
            <w:r>
              <w:rPr>
                <w:rFonts w:cs="Liberation Serif" w:ascii="Times New Roman" w:hAnsi="Times New Roman"/>
                <w:bCs/>
                <w:color w:val="000000"/>
                <w:sz w:val="24"/>
                <w:szCs w:val="24"/>
              </w:rPr>
              <w:t>договора</w:t>
            </w: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, начальной цены за единицу товара (работы, услуги), усиление контроля</w:t>
            </w:r>
          </w:p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</w:rPr>
              <w:t>за недопущением</w:t>
            </w: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 xml:space="preserve"> совершения коррупционных правонарушений</w:t>
            </w:r>
          </w:p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>
        <w:trPr>
          <w:trHeight w:val="539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Обязательное обоснование начальной (максимальной) цены </w:t>
            </w:r>
            <w:r>
              <w:rPr>
                <w:rFonts w:cs="Liberation Serif" w:ascii="Times New Roman" w:hAnsi="Times New Roman"/>
                <w:bCs/>
                <w:color w:val="000000"/>
                <w:sz w:val="24"/>
                <w:szCs w:val="24"/>
              </w:rPr>
              <w:t>договора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</w:r>
          </w:p>
        </w:tc>
      </w:tr>
      <w:tr>
        <w:trPr>
          <w:trHeight w:val="1080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Проведение мониторинга цен на товары (работы, услуги) в целях недопущения завышения (занижения) начальной (максимальной) цены </w:t>
            </w:r>
            <w:r>
              <w:rPr>
                <w:rFonts w:cs="Liberation Serif" w:ascii="Times New Roman" w:hAnsi="Times New Roman"/>
                <w:bCs/>
                <w:color w:val="000000"/>
                <w:sz w:val="24"/>
                <w:szCs w:val="24"/>
              </w:rPr>
              <w:t>договора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</w:r>
          </w:p>
        </w:tc>
      </w:tr>
      <w:tr>
        <w:trPr>
          <w:trHeight w:val="964" w:hRule="atLeast"/>
        </w:trPr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Анализ и оценка начальной (максимальной) цены контракта, начальной цены за единицу товара (работы, услуги) и их обоснованности с учетом финансового обеспечения для осуществления конкретных закупок, а также закупок, не предусмотренных планом-графиком закупок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ответственные за осуществление закупок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952" w:hRule="atLeast"/>
        </w:trPr>
        <w:tc>
          <w:tcPr>
            <w:tcW w:w="99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Анализ и сопоставление информации о юридических лицах и индивидуальных предпринимателях, которым направлялись запросы в рамках мониторинга цен на товары (работы, услуги), с информацией о поставщиках (подрядчиках, исполнителях), закупки у которых проводились неконкурентными способами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549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Обоснование способа определения поставщика (подрядчика, исполнителя), не относящегося к конкурентным</w:t>
            </w:r>
          </w:p>
        </w:tc>
        <w:tc>
          <w:tcPr>
            <w:tcW w:w="1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выбор способа определения поставщика (подрядчика, исполнителя)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при формировании плана закупок, </w:t>
              <w:br/>
              <w:t xml:space="preserve">при принятии решения </w:t>
              <w:br/>
              <w:t>о проведении закупок не конкурентным способом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ответственные за осуществление закупок,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i/>
                <w:color w:val="000000"/>
                <w:sz w:val="24"/>
                <w:szCs w:val="24"/>
              </w:rPr>
              <w:t>руководитель структурного подразделения, работники которого участвуют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исключение возможности применения коррупционных схем при осуществлении закупок, повышение уровня конкуренции при осуществлении закупок</w:t>
            </w:r>
          </w:p>
        </w:tc>
      </w:tr>
      <w:tr>
        <w:trPr>
          <w:trHeight w:val="695" w:hRule="atLeast"/>
        </w:trPr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способов закупок таких товаров (работ, услуг)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ответственные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>
        <w:trPr>
          <w:trHeight w:val="488" w:hRule="atLeast"/>
        </w:trPr>
        <w:tc>
          <w:tcPr>
            <w:tcW w:w="99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Контроль соблюдения плана закупок, анализ и оценка нарушения сроков (периодичности) осуществления закупок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552" w:hRule="atLeast"/>
        </w:trPr>
        <w:tc>
          <w:tcPr>
            <w:tcW w:w="99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Сравнительный анализ и оценка информации о юридических лицах и индивидуальных предпринимателях, которым направлялись запросы и которыми представлены ценовые предложения в рамках мониторинга цен на товары (работы, услуги) в целях определения начальной (максимальной) цены </w:t>
            </w:r>
            <w:r>
              <w:rPr>
                <w:rFonts w:cs="Liberation Serif" w:ascii="Times New Roman" w:hAnsi="Times New Roman"/>
                <w:bCs/>
                <w:color w:val="000000"/>
                <w:sz w:val="24"/>
                <w:szCs w:val="24"/>
              </w:rPr>
              <w:t>договора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, начальной цены за единицу товара (работы, услуги), с информацией о поставщиках (подрядчиках, исполнителях), закупки у которых проводились неконкурентными способами, и участниках закупок, предлагаемых в качестве единственного поставщика (подрядчика, исполнителя)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558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Формирование профиля участников закупок </w:t>
              <w:br/>
              <w:t xml:space="preserve">и (или) определенных по их результатам поставщиков (подрядчиков, исполнителей), в том числе субподрядчиков, соисполнителей (с учетом сведений, указанных в заявках на участие </w:t>
              <w:br/>
              <w:t xml:space="preserve">в закупках, информации, имеющейся </w:t>
              <w:br/>
              <w:t>в распоряжении Учреждения, общедоступной информации в информационно-коммуникационной сети «Интернет»)</w:t>
            </w:r>
          </w:p>
        </w:tc>
        <w:tc>
          <w:tcPr>
            <w:tcW w:w="1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оценка заявок, выбор способа определения поставщика (подрядчика, исполнителя)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при поступлении сведений об участниках закупок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ответственные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>
        <w:trPr>
          <w:trHeight w:val="558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Перекрестный анализ информации, содержащейся в профилях лиц, участвующих </w:t>
              <w:br/>
              <w:t>в осуществлении закупок, членов  комиссии и участников закупок, в целях выявления аффилированности (личной заинтересованности, неформальных связей) между участниками закупок и лицами, участвующими в осуществлении закупок,  членами комиссии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при поступлении сведений об участниках закупок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ответственные за осуществление закупок,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ответственный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  <w:br/>
              <w:t>выявление конфликта интересов (личной заинтересованности) при осуществлении закупок</w:t>
            </w:r>
          </w:p>
        </w:tc>
      </w:tr>
      <w:tr>
        <w:trPr>
          <w:trHeight w:val="558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Декларация о возможной личной заинтересованности лицами, участвующими в осуществлении закупок, членами комиссии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при осуществлении процедуры закупок: после поступления информации об участниках закупок до принятия решения об определении победителя закупок (при проведении закупок конкурентным способом) либо до принятия решения об осуществлении закупок с конкретным единственным поставщиком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ответственный за профилактику коррупции, ответственные за осуществление закупок,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лица, участвующие в осуществлении закупок, члены единой комиссии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исключение возможности применения коррупционных схем при осуществлении закупок, выявление конфликта интересов при осуществлении закупок, усиление контроля за недопущением совершения коррупционных правонарушений при осуществлении закупок</w:t>
            </w:r>
          </w:p>
        </w:tc>
      </w:tr>
      <w:tr>
        <w:trPr>
          <w:trHeight w:val="558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 xml:space="preserve">Организация ежегодной добровольной оценки знаний лиц, участвующих в осуществлении закупок, членов комиссии по вопросам, связанным </w:t>
              <w:br/>
              <w:t xml:space="preserve">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</w:t>
              <w:br/>
              <w:t xml:space="preserve">№ 273-ФЗ «О противодействии коррупции» </w:t>
              <w:br/>
              <w:t>и 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ответственный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>
        <w:trPr>
          <w:trHeight w:val="707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Повышение квалификации членов комиссии (направление для обучения по дополнительной профессиональной программе по вопросам профилактики и противодействия коррупции и (или) по вопросам, связанным с осуществлением закупок)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i/>
                <w:i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i/>
                <w:color w:val="000000"/>
                <w:sz w:val="24"/>
                <w:szCs w:val="24"/>
              </w:rPr>
              <w:t>специалист по кадрам,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i/>
                <w:i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i/>
                <w:color w:val="000000"/>
                <w:sz w:val="24"/>
                <w:szCs w:val="24"/>
              </w:rPr>
              <w:t>ответственные за осуществление закупок,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i/>
                <w:color w:val="000000"/>
                <w:sz w:val="24"/>
                <w:szCs w:val="24"/>
              </w:rPr>
              <w:t>руководитель структурного подразделения, работники которого участвуют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>
        <w:trPr>
          <w:trHeight w:val="469" w:hRule="atLeast"/>
        </w:trPr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Ознакомление членов комиссии с 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 за непринятие мер по предотвращению и (или) урегулированию конфликта интересов</w:t>
            </w:r>
          </w:p>
        </w:tc>
        <w:tc>
          <w:tcPr>
            <w:tcW w:w="1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ответственный за профилактику коррупции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>
        <w:trPr>
          <w:trHeight w:val="297" w:hRule="atLeast"/>
        </w:trPr>
        <w:tc>
          <w:tcPr>
            <w:tcW w:w="99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Проведение разъяснительной работы с членами комиссии по вопросам: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обязанности незамедлительно уведомлять работодателя о склонении к совершению коррупционного правонарушения;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обязанности принимать меры по предотвращению и урегулированию конфликта интересов,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 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</w:r>
          </w:p>
        </w:tc>
      </w:tr>
      <w:tr>
        <w:trPr>
          <w:trHeight w:val="1080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Использование 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3">
              <w:r>
                <w:rPr>
                  <w:rFonts w:cs="Liberation Serif" w:ascii="Times New Roman" w:hAnsi="Times New Roman"/>
                  <w:color w:val="000000"/>
                  <w:sz w:val="24"/>
                  <w:szCs w:val="24"/>
                </w:rPr>
                <w:t>www.torgi.midural.ru</w:t>
              </w:r>
            </w:hyperlink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),</w:t>
            </w:r>
          </w:p>
        </w:tc>
        <w:tc>
          <w:tcPr>
            <w:tcW w:w="1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заключение и исполнение </w:t>
            </w:r>
            <w:r>
              <w:rPr>
                <w:rFonts w:cs="Liberation Serif" w:ascii="Times New Roman" w:hAnsi="Times New Roman"/>
                <w:bCs/>
                <w:color w:val="000000"/>
                <w:sz w:val="24"/>
                <w:szCs w:val="24"/>
              </w:rPr>
              <w:t>договора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, приемка результатов выполненных работ (поставленных товаров, оказанных услуг)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ответственные за осуществление закупок,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i/>
                <w:color w:val="000000"/>
                <w:sz w:val="24"/>
                <w:szCs w:val="24"/>
              </w:rPr>
              <w:t>руководитель структурного подразделения, работники которого участвуют в осуществлении закупок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i/>
                <w:color w:val="000000"/>
                <w:sz w:val="24"/>
                <w:szCs w:val="24"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исключение возможности применения коррупционных схем при осуществлении закупок, применение стандартизированных процедур</w:t>
            </w:r>
          </w:p>
        </w:tc>
      </w:tr>
      <w:tr>
        <w:trPr>
          <w:trHeight w:val="1080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Применение мер ответственности в случае нарушения поставщиком (подрядчиком, исполнителем) </w:t>
            </w:r>
            <w:r>
              <w:rPr>
                <w:rFonts w:cs="Liberation Serif" w:ascii="Times New Roman" w:hAnsi="Times New Roman"/>
                <w:bCs/>
                <w:color w:val="000000"/>
                <w:sz w:val="24"/>
                <w:szCs w:val="24"/>
              </w:rPr>
              <w:t>договора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в сроки,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в порядке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и на условиях, установленных </w:t>
            </w:r>
            <w:r>
              <w:rPr>
                <w:rFonts w:cs="Liberation Serif" w:ascii="Times New Roman" w:hAnsi="Times New Roman"/>
                <w:bCs/>
                <w:color w:val="000000"/>
                <w:sz w:val="24"/>
                <w:szCs w:val="24"/>
              </w:rPr>
              <w:t>договором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ответственные за осуществление закупок,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i/>
                <w:color w:val="000000"/>
                <w:sz w:val="24"/>
                <w:szCs w:val="24"/>
              </w:rPr>
              <w:t>руководитель структурного подразделения, работники которого участвуют в осуществлении закупок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i/>
                <w:i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i/>
                <w:color w:val="000000"/>
                <w:sz w:val="24"/>
                <w:szCs w:val="24"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исключение возможности применения коррупционных схем при осуществлении закупок</w:t>
            </w:r>
          </w:p>
        </w:tc>
      </w:tr>
      <w:tr>
        <w:trPr>
          <w:trHeight w:val="2820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Привлечение специалистов, обладающих специальными знаниями, к приемке поставленных товаров (выполненных работ (их результатов), оказанных услуг) по договору, если данная закупка подпадает под критерии выбора закупок товаров, работ, услуг с повышенными коррупционными рисками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при приемке товаров (работ, услуг)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ответственные за осуществление закупок,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лица, участвующие в осуществлении закупок,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i/>
                <w:i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i/>
                <w:color w:val="000000"/>
                <w:sz w:val="24"/>
                <w:szCs w:val="24"/>
              </w:rPr>
              <w:t>отдел бухгалтерского учета и отчетности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</w:t>
            </w:r>
          </w:p>
        </w:tc>
      </w:tr>
      <w:tr>
        <w:trPr>
          <w:trHeight w:val="948" w:hRule="atLeast"/>
        </w:trPr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Контроль соблюдения сроков и порядка заключения договора, предоставления обеспечения исполнения договора, приемки товаров (работ, услуг), в том числе этапов исполнения договора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ответственные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исключение возможности применения коррупционных схем при осуществлении закупок</w:t>
            </w:r>
          </w:p>
        </w:tc>
      </w:tr>
      <w:tr>
        <w:trPr>
          <w:trHeight w:val="964" w:hRule="atLeast"/>
        </w:trPr>
        <w:tc>
          <w:tcPr>
            <w:tcW w:w="99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Анализ и оценка обоснованности изменения условий </w:t>
            </w:r>
            <w:r>
              <w:rPr>
                <w:rFonts w:cs="Liberation Serif" w:ascii="Times New Roman" w:hAnsi="Times New Roman"/>
                <w:bCs/>
                <w:color w:val="000000"/>
                <w:sz w:val="24"/>
                <w:szCs w:val="24"/>
              </w:rPr>
              <w:t>договора</w:t>
            </w: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, неприменения мер ответственности в случае нарушения поставщиком (подрядчиком, исполнителем) условий договора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1080" w:hRule="atLeast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 xml:space="preserve">Ознакомление лиц, участвующих </w:t>
              <w:br/>
              <w:t xml:space="preserve">в осуществлении закупок, с нормативными правовыми актами и методическими материалами, регулирующими вопросы профилактики и противодействия коррупции, </w:t>
              <w:br/>
              <w:t>с мерами ответственности за совершение коррупционных правонарушений</w:t>
            </w:r>
          </w:p>
        </w:tc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 w:cs="Liberation Serif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cs="Liberation Serif" w:ascii="Times New Roman" w:hAnsi="Times New Roman"/>
                <w:color w:val="000000"/>
                <w:sz w:val="24"/>
                <w:szCs w:val="24"/>
              </w:rPr>
              <w:t>ответственный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nsPlusNormal"/>
              <w:widowControl w:val="false"/>
              <w:spacing w:lineRule="auto" w:line="216"/>
              <w:rPr>
                <w:rFonts w:ascii="Times New Roman" w:hAnsi="Times New Roman" w:eastAsia="Calibri" w:cs="Liberation Serif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 w:cs="Liberation Serif" w:ascii="Times New Roman" w:hAnsi="Times New Roman"/>
                <w:color w:val="000000"/>
                <w:sz w:val="24"/>
                <w:szCs w:val="24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</w:tbl>
    <w:p>
      <w:pPr>
        <w:pStyle w:val="Normal"/>
        <w:spacing w:lineRule="auto" w:line="216" w:before="0" w:after="0"/>
        <w:jc w:val="center"/>
        <w:rPr>
          <w:rFonts w:ascii="Times New Roman" w:hAnsi="Times New Roman"/>
          <w:color w:val="000000"/>
        </w:rPr>
      </w:pPr>
      <w:r>
        <w:rPr/>
      </w:r>
    </w:p>
    <w:sectPr>
      <w:type w:val="nextPage"/>
      <w:pgSz w:orient="landscape" w:w="16838" w:h="11906"/>
      <w:pgMar w:left="1134" w:right="1134" w:header="0" w:top="568" w:footer="0" w:bottom="851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val="fullPage" w:percent="99"/>
  <w:defaultTabStop w:val="708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2" w:before="0" w:after="160"/>
      <w:jc w:val="left"/>
      <w:textAlignment w:val="baseline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4b0cf1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>
      <w:ind w:left="720" w:hanging="0"/>
    </w:pPr>
    <w:rPr/>
  </w:style>
  <w:style w:type="paragraph" w:styleId="ConsPlusNormal" w:customStyle="1">
    <w:name w:val="ConsPlusNormal"/>
    <w:qFormat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Calibri" w:hAnsi="Calibri" w:eastAsia="Times New Roman" w:cs="Calibri"/>
      <w:color w:val="auto"/>
      <w:kern w:val="0"/>
      <w:sz w:val="22"/>
      <w:szCs w:val="20"/>
      <w:lang w:val="ru-RU" w:eastAsia="ru-RU" w:bidi="ar-SA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4b0cf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torgi.midural.ru/" TargetMode="External"/><Relationship Id="rId3" Type="http://schemas.openxmlformats.org/officeDocument/2006/relationships/hyperlink" Target="http://www.torgi.midural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LibreOffice/7.1.4.2$Windows_X86_64 LibreOffice_project/a529a4fab45b75fefc5b6226684193eb000654f6</Application>
  <AppVersion>15.0000</AppVersion>
  <Pages>11</Pages>
  <Words>2073</Words>
  <Characters>16281</Characters>
  <CharactersWithSpaces>18165</CharactersWithSpaces>
  <Paragraphs>215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2021-10-14T06:19:00Z</dcterms:created>
  <dc:creator>Захарова Наталья Николаевна</dc:creator>
  <dc:description/>
  <dc:language>ru-RU</dc:language>
  <cp:lastModifiedBy/>
  <cp:lastPrinted>2021-10-14T06:18:00Z</cp:lastPrinted>
  <dcterms:modified xsi:type="dcterms:W3CDTF">2021-12-03T09:21:09Z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